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spacing w:lineRule="auto" w:line="240" w:before="0" w:after="0"/>
        <w:ind w:hanging="0" w:left="4592" w:right="0"/>
        <w:contextualSpacing/>
        <w:jc w:val="both"/>
        <w:rPr>
          <w:rFonts w:ascii="Times New Roman" w:hAnsi="Times New Roman"/>
          <w:sz w:val="28"/>
        </w:rPr>
      </w:pPr>
      <w:r>
        <w:rPr>
          <w:rFonts w:ascii="Times New Roman" w:hAnsi="Times New Roman"/>
          <w:sz w:val="28"/>
        </w:rPr>
        <w:t>Приложение 5 к приказу Министерства</w:t>
      </w:r>
    </w:p>
    <w:p>
      <w:pPr>
        <w:pStyle w:val="Normal"/>
        <w:widowControl w:val="false"/>
        <w:spacing w:lineRule="auto" w:line="240" w:before="0" w:after="0"/>
        <w:ind w:hanging="0" w:left="4592" w:right="0"/>
        <w:contextualSpacing/>
        <w:jc w:val="left"/>
        <w:rPr>
          <w:rFonts w:ascii="Times New Roman" w:hAnsi="Times New Roman"/>
          <w:sz w:val="28"/>
        </w:rPr>
      </w:pPr>
      <w:r>
        <w:rPr>
          <w:rFonts w:ascii="Times New Roman" w:hAnsi="Times New Roman"/>
          <w:sz w:val="28"/>
        </w:rPr>
        <w:t>образования Камчатского края</w:t>
      </w:r>
    </w:p>
    <w:tbl>
      <w:tblPr>
        <w:tblStyle w:val="Style_3"/>
        <w:tblW w:w="4823" w:type="dxa"/>
        <w:jc w:val="left"/>
        <w:tblInd w:w="4300" w:type="dxa"/>
        <w:tblLayout w:type="fixed"/>
        <w:tblCellMar>
          <w:top w:w="55" w:type="dxa"/>
          <w:left w:w="108" w:type="dxa"/>
          <w:bottom w:w="55" w:type="dxa"/>
          <w:right w:w="108" w:type="dxa"/>
        </w:tblCellMar>
      </w:tblPr>
      <w:tblGrid>
        <w:gridCol w:w="969"/>
        <w:gridCol w:w="1530"/>
        <w:gridCol w:w="497"/>
        <w:gridCol w:w="1827"/>
      </w:tblGrid>
      <w:tr>
        <w:trPr/>
        <w:tc>
          <w:tcPr>
            <w:tcW w:w="969" w:type="dxa"/>
            <w:tcBorders/>
          </w:tcPr>
          <w:p>
            <w:pPr>
              <w:pStyle w:val="Normal"/>
              <w:widowControl/>
              <w:tabs>
                <w:tab w:val="clear" w:pos="709"/>
                <w:tab w:val="left" w:pos="277" w:leader="none"/>
              </w:tabs>
              <w:bidi w:val="0"/>
              <w:spacing w:lineRule="auto" w:line="240" w:before="0" w:after="60"/>
              <w:ind w:hanging="0" w:left="283" w:right="0"/>
              <w:jc w:val="left"/>
              <w:rPr>
                <w:rFonts w:ascii="Times New Roman" w:hAnsi="Times New Roman"/>
                <w:sz w:val="28"/>
              </w:rPr>
            </w:pPr>
            <w:r>
              <w:rPr>
                <w:rFonts w:ascii="Times New Roman" w:hAnsi="Times New Roman"/>
                <w:color w:val="000000"/>
                <w:spacing w:val="0"/>
                <w:kern w:val="0"/>
                <w:sz w:val="28"/>
                <w:szCs w:val="20"/>
              </w:rPr>
              <w:t>от</w:t>
            </w:r>
          </w:p>
        </w:tc>
        <w:tc>
          <w:tcPr>
            <w:tcW w:w="1530" w:type="dxa"/>
            <w:tcBorders/>
          </w:tcPr>
          <w:p>
            <w:pPr>
              <w:pStyle w:val="Normal"/>
              <w:widowControl/>
              <w:spacing w:lineRule="auto" w:line="240" w:before="0" w:after="60"/>
              <w:ind w:hanging="0" w:left="0" w:right="0"/>
              <w:jc w:val="right"/>
              <w:rPr>
                <w:rFonts w:ascii="Times New Roman" w:hAnsi="Times New Roman"/>
                <w:sz w:val="28"/>
              </w:rPr>
            </w:pPr>
            <w:r>
              <w:rPr>
                <w:rFonts w:ascii="Times New Roman" w:hAnsi="Times New Roman"/>
                <w:color w:themeColor="background1" w:val="FFFFFF"/>
                <w:spacing w:val="0"/>
                <w:kern w:val="0"/>
                <w:sz w:val="28"/>
                <w:szCs w:val="20"/>
              </w:rPr>
              <w:t>[REGDATESTAMP]</w:t>
            </w:r>
          </w:p>
        </w:tc>
        <w:tc>
          <w:tcPr>
            <w:tcW w:w="497" w:type="dxa"/>
            <w:tcBorders/>
          </w:tcPr>
          <w:p>
            <w:pPr>
              <w:pStyle w:val="Normal"/>
              <w:widowControl/>
              <w:spacing w:lineRule="auto" w:line="240" w:before="0" w:after="60"/>
              <w:ind w:hanging="0" w:left="0" w:right="0"/>
              <w:jc w:val="right"/>
              <w:rPr>
                <w:rFonts w:ascii="Times New Roman" w:hAnsi="Times New Roman"/>
                <w:sz w:val="28"/>
              </w:rPr>
            </w:pPr>
            <w:r>
              <w:rPr>
                <w:rFonts w:ascii="Times New Roman" w:hAnsi="Times New Roman"/>
                <w:color w:val="000000"/>
                <w:spacing w:val="0"/>
                <w:kern w:val="0"/>
                <w:sz w:val="28"/>
                <w:szCs w:val="20"/>
              </w:rPr>
              <w:t>№</w:t>
            </w:r>
          </w:p>
        </w:tc>
        <w:tc>
          <w:tcPr>
            <w:tcW w:w="1827" w:type="dxa"/>
            <w:tcBorders/>
          </w:tcPr>
          <w:p>
            <w:pPr>
              <w:pStyle w:val="Normal"/>
              <w:widowControl/>
              <w:spacing w:lineRule="auto" w:line="240" w:before="0" w:after="60"/>
              <w:ind w:hanging="0" w:left="0" w:right="0"/>
              <w:jc w:val="right"/>
              <w:rPr>
                <w:rFonts w:ascii="Times New Roman" w:hAnsi="Times New Roman"/>
                <w:sz w:val="28"/>
              </w:rPr>
            </w:pPr>
            <w:r>
              <w:rPr>
                <w:rFonts w:ascii="Times New Roman" w:hAnsi="Times New Roman"/>
                <w:color w:themeColor="background1" w:val="FFFFFF"/>
                <w:spacing w:val="0"/>
                <w:kern w:val="0"/>
                <w:sz w:val="28"/>
                <w:szCs w:val="20"/>
              </w:rPr>
              <w:t>[REGNUMSTAMP]</w:t>
            </w:r>
          </w:p>
        </w:tc>
      </w:tr>
    </w:tbl>
    <w:p>
      <w:pPr>
        <w:pStyle w:val="Normal"/>
        <w:ind w:hanging="0" w:left="4707" w:right="0"/>
        <w:jc w:val="both"/>
        <w:rPr>
          <w:rFonts w:ascii="Times New Roman" w:hAnsi="Times New Roman"/>
          <w:sz w:val="28"/>
        </w:rPr>
      </w:pPr>
      <w:r>
        <w:rPr>
          <w:rFonts w:ascii="Times New Roman" w:hAnsi="Times New Roman"/>
          <w:sz w:val="28"/>
        </w:rPr>
      </w:r>
    </w:p>
    <w:p>
      <w:pPr>
        <w:pStyle w:val="Normal"/>
        <w:widowControl/>
        <w:tabs>
          <w:tab w:val="clear" w:pos="709"/>
          <w:tab w:val="left" w:pos="4707" w:leader="none"/>
        </w:tabs>
        <w:ind w:hanging="0" w:left="0" w:right="-143"/>
        <w:jc w:val="center"/>
        <w:rPr>
          <w:rFonts w:ascii="Times New Roman" w:hAnsi="Times New Roman"/>
          <w:sz w:val="28"/>
        </w:rPr>
      </w:pPr>
      <w:r>
        <w:rPr>
          <w:rFonts w:ascii="Times New Roman" w:hAnsi="Times New Roman"/>
          <w:b/>
          <w:color w:val="000000"/>
          <w:sz w:val="28"/>
        </w:rPr>
        <w:t xml:space="preserve">Инструкция </w:t>
      </w:r>
    </w:p>
    <w:p>
      <w:pPr>
        <w:pStyle w:val="Normal"/>
        <w:widowControl/>
        <w:tabs>
          <w:tab w:val="clear" w:pos="709"/>
          <w:tab w:val="left" w:pos="4707" w:leader="none"/>
        </w:tabs>
        <w:ind w:hanging="0" w:left="0" w:right="-143"/>
        <w:jc w:val="center"/>
        <w:rPr>
          <w:rFonts w:ascii="Times New Roman" w:hAnsi="Times New Roman"/>
          <w:sz w:val="28"/>
        </w:rPr>
      </w:pPr>
      <w:r>
        <w:rPr>
          <w:rFonts w:ascii="Times New Roman" w:hAnsi="Times New Roman"/>
          <w:b/>
          <w:color w:val="000000"/>
          <w:sz w:val="28"/>
        </w:rPr>
        <w:t>по организации и проведению государственной итоговой аттестации по образовательным программам среднего общего образования в форме единого государственного экзамена для лиц с ограниченными возможностями здоровья, детей-инвалидов и инвалидов в 2026 году</w:t>
      </w:r>
    </w:p>
    <w:p>
      <w:pPr>
        <w:pStyle w:val="114"/>
        <w:tabs>
          <w:tab w:val="clear" w:pos="709"/>
          <w:tab w:val="left" w:pos="4707" w:leader="none"/>
        </w:tabs>
        <w:ind w:hanging="0" w:left="77" w:right="0"/>
        <w:jc w:val="center"/>
        <w:rPr>
          <w:rFonts w:ascii="Times New Roman" w:hAnsi="Times New Roman"/>
          <w:sz w:val="28"/>
        </w:rPr>
      </w:pPr>
      <w:r>
        <w:rPr>
          <w:sz w:val="28"/>
        </w:rPr>
      </w:r>
    </w:p>
    <w:p>
      <w:pPr>
        <w:pStyle w:val="114"/>
        <w:tabs>
          <w:tab w:val="clear" w:pos="709"/>
          <w:tab w:val="left" w:pos="4707" w:leader="none"/>
        </w:tabs>
        <w:ind w:hanging="0" w:left="77" w:right="0"/>
        <w:jc w:val="center"/>
        <w:rPr>
          <w:rFonts w:ascii="Times New Roman" w:hAnsi="Times New Roman"/>
          <w:sz w:val="28"/>
        </w:rPr>
      </w:pPr>
      <w:r>
        <w:rPr>
          <w:sz w:val="28"/>
        </w:rPr>
        <w:t>Содержание</w:t>
      </w:r>
    </w:p>
    <w:sdt>
      <w:sdtPr>
        <w:docPartObj>
          <w:docPartGallery w:val="Table of Contents"/>
          <w:docPartUnique w:val="true"/>
        </w:docPartObj>
      </w:sdtPr>
      <w:sdtContent>
        <w:p>
          <w:pPr>
            <w:pStyle w:val="TOC1"/>
            <w:tabs>
              <w:tab w:val="clear" w:pos="709"/>
              <w:tab w:val="right" w:pos="9921" w:leader="dot"/>
            </w:tabs>
            <w:rPr/>
          </w:pPr>
          <w:r>
            <w:fldChar w:fldCharType="begin"/>
          </w:r>
          <w:r>
            <w:rPr>
              <w:rStyle w:val="Style7"/>
              <w:sz w:val="28"/>
              <w:szCs w:val="28"/>
              <w:rFonts w:ascii="Times New Roman" w:hAnsi="Times New Roman"/>
            </w:rPr>
            <w:instrText xml:space="preserve"> TOC \o "1-3" \h</w:instrText>
          </w:r>
          <w:r>
            <w:rPr>
              <w:rStyle w:val="Style7"/>
              <w:sz w:val="28"/>
              <w:szCs w:val="28"/>
              <w:rFonts w:ascii="Times New Roman" w:hAnsi="Times New Roman"/>
            </w:rPr>
            <w:fldChar w:fldCharType="separate"/>
          </w:r>
          <w:hyperlink w:anchor="__RefHeading___1">
            <w:r>
              <w:rPr>
                <w:rStyle w:val="Style7"/>
                <w:rFonts w:ascii="Times New Roman" w:hAnsi="Times New Roman"/>
                <w:sz w:val="28"/>
                <w:szCs w:val="28"/>
              </w:rPr>
              <w:t>Перечень условных обозначений, сокращений и терминов</w:t>
              <w:tab/>
              <w:t>290</w:t>
            </w:r>
          </w:hyperlink>
        </w:p>
        <w:p>
          <w:pPr>
            <w:pStyle w:val="TOC1"/>
            <w:tabs>
              <w:tab w:val="clear" w:pos="709"/>
              <w:tab w:val="right" w:pos="9921" w:leader="dot"/>
            </w:tabs>
            <w:rPr/>
          </w:pPr>
          <w:hyperlink w:anchor="__RefHeading___2">
            <w:r>
              <w:rPr>
                <w:rStyle w:val="Style7"/>
                <w:rFonts w:ascii="Times New Roman" w:hAnsi="Times New Roman"/>
                <w:sz w:val="28"/>
                <w:szCs w:val="28"/>
              </w:rPr>
              <w:t>1. Особенности подготовки ППЭ и аудиторий к проведению ГИА</w:t>
              <w:tab/>
              <w:t>292</w:t>
            </w:r>
          </w:hyperlink>
        </w:p>
        <w:p>
          <w:pPr>
            <w:pStyle w:val="TOC1"/>
            <w:tabs>
              <w:tab w:val="clear" w:pos="709"/>
              <w:tab w:val="right" w:pos="9921" w:leader="dot"/>
            </w:tabs>
            <w:rPr/>
          </w:pPr>
          <w:hyperlink w:anchor="__RefHeading___4">
            <w:r>
              <w:rPr>
                <w:rStyle w:val="Style7"/>
                <w:rFonts w:ascii="Times New Roman" w:hAnsi="Times New Roman"/>
                <w:sz w:val="28"/>
                <w:szCs w:val="28"/>
              </w:rPr>
              <w:t>3. Особенности проведения ГИА</w:t>
              <w:tab/>
              <w:t>297</w:t>
            </w:r>
          </w:hyperlink>
        </w:p>
        <w:p>
          <w:pPr>
            <w:pStyle w:val="TOC2"/>
            <w:widowControl w:val="false"/>
            <w:tabs>
              <w:tab w:val="clear" w:pos="709"/>
              <w:tab w:val="right" w:pos="9921" w:leader="dot"/>
            </w:tabs>
            <w:bidi w:val="0"/>
            <w:spacing w:lineRule="auto" w:line="240" w:before="0" w:after="100"/>
            <w:ind w:firstLine="1077" w:left="0" w:right="0"/>
            <w:jc w:val="left"/>
            <w:rPr/>
          </w:pPr>
          <w:hyperlink w:anchor="__RefHeading___5">
            <w:r>
              <w:rPr>
                <w:rStyle w:val="Style7"/>
                <w:rFonts w:ascii="Times New Roman" w:hAnsi="Times New Roman"/>
                <w:sz w:val="28"/>
                <w:szCs w:val="28"/>
              </w:rPr>
              <w:t>3.1. Подготовительный этап: организационно-технологические мероприятия, проводимые в ППЭ</w:t>
              <w:tab/>
              <w:t>297</w:t>
            </w:r>
          </w:hyperlink>
        </w:p>
        <w:p>
          <w:pPr>
            <w:pStyle w:val="TOC2"/>
            <w:widowControl w:val="false"/>
            <w:tabs>
              <w:tab w:val="clear" w:pos="709"/>
              <w:tab w:val="right" w:pos="9921" w:leader="dot"/>
            </w:tabs>
            <w:bidi w:val="0"/>
            <w:spacing w:lineRule="auto" w:line="240" w:before="0" w:after="100"/>
            <w:ind w:firstLine="1077" w:left="0" w:right="0"/>
            <w:jc w:val="left"/>
            <w:rPr/>
          </w:pPr>
          <w:hyperlink w:anchor="__RefHeading___6">
            <w:r>
              <w:rPr>
                <w:rStyle w:val="Style7"/>
                <w:rFonts w:ascii="Times New Roman" w:hAnsi="Times New Roman"/>
                <w:sz w:val="28"/>
                <w:szCs w:val="28"/>
              </w:rPr>
              <w:t>3.2. Начало проведения экзамена в аудитории</w:t>
              <w:tab/>
              <w:t>299</w:t>
            </w:r>
          </w:hyperlink>
        </w:p>
        <w:p>
          <w:pPr>
            <w:pStyle w:val="TOC2"/>
            <w:widowControl w:val="false"/>
            <w:tabs>
              <w:tab w:val="clear" w:pos="709"/>
              <w:tab w:val="right" w:pos="9921" w:leader="dot"/>
            </w:tabs>
            <w:bidi w:val="0"/>
            <w:spacing w:lineRule="auto" w:line="240" w:before="0" w:after="100"/>
            <w:ind w:firstLine="1077" w:left="0" w:right="0"/>
            <w:jc w:val="left"/>
            <w:rPr/>
          </w:pPr>
          <w:hyperlink w:anchor="__RefHeading___7">
            <w:r>
              <w:rPr>
                <w:rStyle w:val="Style7"/>
                <w:rFonts w:ascii="Times New Roman" w:hAnsi="Times New Roman"/>
                <w:sz w:val="28"/>
                <w:szCs w:val="28"/>
              </w:rPr>
              <w:t>3.3. Проведение экзамена в аудитории</w:t>
              <w:tab/>
              <w:t>299</w:t>
            </w:r>
          </w:hyperlink>
        </w:p>
        <w:p>
          <w:pPr>
            <w:pStyle w:val="TOC2"/>
            <w:widowControl w:val="false"/>
            <w:tabs>
              <w:tab w:val="clear" w:pos="709"/>
              <w:tab w:val="right" w:pos="9921" w:leader="dot"/>
            </w:tabs>
            <w:bidi w:val="0"/>
            <w:spacing w:lineRule="auto" w:line="240" w:before="0" w:after="100"/>
            <w:ind w:firstLine="1077" w:left="0" w:right="0"/>
            <w:jc w:val="left"/>
            <w:rPr/>
          </w:pPr>
          <w:hyperlink w:anchor="__RefHeading___8">
            <w:r>
              <w:rPr>
                <w:rStyle w:val="Style7"/>
                <w:rFonts w:ascii="Times New Roman" w:hAnsi="Times New Roman"/>
                <w:sz w:val="28"/>
                <w:szCs w:val="28"/>
              </w:rPr>
              <w:t>3.4. Завершение выполнения ЭР участниками экзамена</w:t>
              <w:tab/>
              <w:t>300</w:t>
            </w:r>
          </w:hyperlink>
        </w:p>
        <w:p>
          <w:pPr>
            <w:pStyle w:val="TOC1"/>
            <w:tabs>
              <w:tab w:val="clear" w:pos="709"/>
              <w:tab w:val="right" w:pos="9921" w:leader="dot"/>
            </w:tabs>
            <w:rPr/>
          </w:pPr>
          <w:hyperlink w:anchor="__RefHeading___9">
            <w:r>
              <w:rPr>
                <w:rStyle w:val="Style7"/>
                <w:rFonts w:ascii="Times New Roman" w:hAnsi="Times New Roman"/>
                <w:sz w:val="28"/>
                <w:szCs w:val="28"/>
              </w:rPr>
              <w:t>4. Особенности организации ЕГЭ по иностранному языку (устная часть)</w:t>
              <w:tab/>
              <w:t>302</w:t>
            </w:r>
          </w:hyperlink>
        </w:p>
        <w:p>
          <w:pPr>
            <w:pStyle w:val="TOC1"/>
            <w:tabs>
              <w:tab w:val="clear" w:pos="709"/>
              <w:tab w:val="right" w:pos="9921" w:leader="dot"/>
            </w:tabs>
            <w:rPr/>
          </w:pPr>
          <w:hyperlink w:anchor="__RefHeading___10">
            <w:r>
              <w:rPr>
                <w:rStyle w:val="Style7"/>
                <w:rFonts w:ascii="Times New Roman" w:hAnsi="Times New Roman"/>
                <w:sz w:val="28"/>
                <w:szCs w:val="28"/>
              </w:rPr>
              <w:t>5. Особенности организации ЕГЭ по иностранному языку (устная часть)</w:t>
              <w:tab/>
              <w:t>304</w:t>
            </w:r>
          </w:hyperlink>
        </w:p>
        <w:p>
          <w:pPr>
            <w:pStyle w:val="TOC1"/>
            <w:tabs>
              <w:tab w:val="clear" w:pos="709"/>
              <w:tab w:val="right" w:pos="9921" w:leader="dot"/>
            </w:tabs>
            <w:rPr/>
          </w:pPr>
          <w:hyperlink w:anchor="__RefHeading___11">
            <w:r>
              <w:rPr>
                <w:rStyle w:val="Style7"/>
                <w:rFonts w:ascii="Times New Roman" w:hAnsi="Times New Roman"/>
                <w:sz w:val="28"/>
                <w:szCs w:val="28"/>
              </w:rPr>
              <w:t>Приложение 1.</w:t>
              <w:tab/>
              <w:t>307</w:t>
            </w:r>
          </w:hyperlink>
        </w:p>
        <w:p>
          <w:pPr>
            <w:pStyle w:val="TOC1"/>
            <w:tabs>
              <w:tab w:val="clear" w:pos="709"/>
              <w:tab w:val="right" w:pos="9921" w:leader="dot"/>
            </w:tabs>
            <w:rPr/>
          </w:pPr>
          <w:hyperlink w:anchor="__RefHeading___12">
            <w:r>
              <w:rPr>
                <w:rStyle w:val="Style7"/>
                <w:rFonts w:ascii="Times New Roman" w:hAnsi="Times New Roman"/>
                <w:sz w:val="28"/>
                <w:szCs w:val="28"/>
              </w:rPr>
              <w:t>Приложение 2.</w:t>
              <w:tab/>
              <w:t>311</w:t>
            </w:r>
          </w:hyperlink>
        </w:p>
        <w:p>
          <w:pPr>
            <w:pStyle w:val="TOC1"/>
            <w:tabs>
              <w:tab w:val="clear" w:pos="709"/>
              <w:tab w:val="right" w:pos="9921" w:leader="dot"/>
            </w:tabs>
            <w:rPr/>
          </w:pPr>
          <w:hyperlink w:anchor="__RefHeading___13">
            <w:r>
              <w:rPr>
                <w:rStyle w:val="Style7"/>
                <w:rFonts w:ascii="Times New Roman" w:hAnsi="Times New Roman"/>
                <w:sz w:val="28"/>
                <w:szCs w:val="28"/>
              </w:rPr>
              <w:t>Приложение 3.</w:t>
              <w:tab/>
              <w:t>312</w:t>
            </w:r>
          </w:hyperlink>
        </w:p>
        <w:p>
          <w:pPr>
            <w:pStyle w:val="TOC1"/>
            <w:tabs>
              <w:tab w:val="clear" w:pos="709"/>
              <w:tab w:val="right" w:pos="9921" w:leader="dot"/>
            </w:tabs>
            <w:rPr/>
          </w:pPr>
          <w:hyperlink w:anchor="__RefHeading___14">
            <w:r>
              <w:rPr>
                <w:rStyle w:val="Style7"/>
                <w:rFonts w:ascii="Times New Roman" w:hAnsi="Times New Roman"/>
                <w:sz w:val="28"/>
                <w:szCs w:val="28"/>
              </w:rPr>
              <w:t>Приложение 4.</w:t>
              <w:tab/>
              <w:t>314</w:t>
            </w:r>
          </w:hyperlink>
        </w:p>
        <w:p>
          <w:pPr>
            <w:pStyle w:val="TOC1"/>
            <w:tabs>
              <w:tab w:val="clear" w:pos="709"/>
              <w:tab w:val="right" w:pos="9921" w:leader="dot"/>
            </w:tabs>
            <w:rPr/>
          </w:pPr>
          <w:hyperlink w:anchor="__RefHeading___15">
            <w:r>
              <w:rPr>
                <w:rStyle w:val="Style7"/>
                <w:rFonts w:ascii="Times New Roman" w:hAnsi="Times New Roman"/>
                <w:sz w:val="28"/>
                <w:szCs w:val="28"/>
              </w:rPr>
              <w:t>Приложение 5.</w:t>
              <w:tab/>
              <w:t>315</w:t>
            </w:r>
          </w:hyperlink>
        </w:p>
        <w:p>
          <w:pPr>
            <w:pStyle w:val="TOC1"/>
            <w:tabs>
              <w:tab w:val="clear" w:pos="709"/>
              <w:tab w:val="right" w:pos="9921" w:leader="dot"/>
            </w:tabs>
            <w:rPr/>
          </w:pPr>
          <w:hyperlink w:anchor="__RefHeading___16">
            <w:r>
              <w:rPr>
                <w:rStyle w:val="Style7"/>
                <w:rFonts w:ascii="Times New Roman" w:hAnsi="Times New Roman"/>
                <w:sz w:val="28"/>
                <w:szCs w:val="28"/>
              </w:rPr>
              <w:t>Приложение 6.</w:t>
              <w:tab/>
              <w:t>318</w:t>
            </w:r>
          </w:hyperlink>
        </w:p>
        <w:p>
          <w:pPr>
            <w:pStyle w:val="TOC1"/>
            <w:tabs>
              <w:tab w:val="clear" w:pos="709"/>
              <w:tab w:val="right" w:pos="9921" w:leader="dot"/>
            </w:tabs>
            <w:rPr/>
          </w:pPr>
          <w:hyperlink w:anchor="__RefHeading___17">
            <w:r>
              <w:rPr>
                <w:rStyle w:val="Style7"/>
                <w:rFonts w:ascii="Times New Roman" w:hAnsi="Times New Roman"/>
                <w:sz w:val="28"/>
                <w:szCs w:val="28"/>
              </w:rPr>
              <w:t>Приложение 7.</w:t>
              <w:tab/>
              <w:t>319</w:t>
            </w:r>
          </w:hyperlink>
          <w:r>
            <w:rPr>
              <w:rStyle w:val="Style7"/>
              <w:sz w:val="28"/>
              <w:szCs w:val="28"/>
              <w:rFonts w:ascii="Times New Roman" w:hAnsi="Times New Roman"/>
            </w:rPr>
            <w:fldChar w:fldCharType="end"/>
          </w:r>
        </w:p>
      </w:sdtContent>
    </w:sdt>
    <w:p>
      <w:pPr>
        <w:pStyle w:val="Normal"/>
        <w:widowControl w:val="false"/>
        <w:bidi w:val="0"/>
        <w:spacing w:lineRule="auto" w:line="240" w:before="0" w:after="0"/>
        <w:ind w:hanging="0" w:left="0" w:right="0"/>
        <w:jc w:val="left"/>
        <w:rPr>
          <w:rFonts w:ascii="Times New Roman" w:hAnsi="Times New Roman"/>
          <w:color w:val="000000"/>
          <w:spacing w:val="0"/>
          <w:sz w:val="28"/>
          <w:szCs w:val="28"/>
        </w:rPr>
      </w:pPr>
      <w:r>
        <w:rPr>
          <w:rFonts w:ascii="Times New Roman" w:hAnsi="Times New Roman"/>
          <w:color w:val="000000"/>
          <w:spacing w:val="0"/>
          <w:sz w:val="28"/>
          <w:szCs w:val="28"/>
        </w:rPr>
      </w:r>
    </w:p>
    <w:p>
      <w:pPr>
        <w:pStyle w:val="Normal"/>
        <w:widowControl w:val="false"/>
        <w:spacing w:lineRule="auto" w:line="240" w:before="0" w:after="0"/>
        <w:ind w:hanging="0" w:left="0" w:right="0"/>
        <w:jc w:val="left"/>
        <w:rPr>
          <w:rFonts w:ascii="Times New Roman" w:hAnsi="Times New Roman"/>
          <w:color w:val="000000"/>
          <w:sz w:val="28"/>
        </w:rPr>
      </w:pPr>
      <w:r>
        <w:rPr>
          <w:rFonts w:ascii="Times New Roman" w:hAnsi="Times New Roman"/>
          <w:color w:val="000000"/>
          <w:sz w:val="28"/>
        </w:rPr>
      </w:r>
    </w:p>
    <w:p>
      <w:pPr>
        <w:pStyle w:val="114"/>
        <w:tabs>
          <w:tab w:val="clear" w:pos="709"/>
          <w:tab w:val="left" w:pos="4707" w:leader="none"/>
        </w:tabs>
        <w:ind w:hanging="0" w:left="77" w:right="0"/>
        <w:jc w:val="center"/>
        <w:rPr>
          <w:rFonts w:ascii="Times New Roman" w:hAnsi="Times New Roman"/>
          <w:sz w:val="28"/>
        </w:rPr>
      </w:pPr>
      <w:r>
        <w:rPr>
          <w:sz w:val="28"/>
        </w:rPr>
      </w:r>
    </w:p>
    <w:p>
      <w:pPr>
        <w:pStyle w:val="114"/>
        <w:tabs>
          <w:tab w:val="clear" w:pos="709"/>
          <w:tab w:val="left" w:pos="4707" w:leader="none"/>
        </w:tabs>
        <w:ind w:hanging="0" w:left="77" w:right="0"/>
        <w:jc w:val="center"/>
        <w:rPr>
          <w:rFonts w:ascii="Times New Roman" w:hAnsi="Times New Roman"/>
          <w:sz w:val="28"/>
        </w:rPr>
      </w:pPr>
      <w:r>
        <w:rPr>
          <w:sz w:val="28"/>
        </w:rPr>
      </w:r>
    </w:p>
    <w:p>
      <w:pPr>
        <w:pStyle w:val="114"/>
        <w:tabs>
          <w:tab w:val="clear" w:pos="709"/>
          <w:tab w:val="left" w:pos="4707" w:leader="none"/>
        </w:tabs>
        <w:ind w:hanging="0" w:left="77" w:right="0"/>
        <w:jc w:val="center"/>
        <w:rPr>
          <w:rFonts w:ascii="Times New Roman" w:hAnsi="Times New Roman"/>
          <w:sz w:val="28"/>
        </w:rPr>
      </w:pPr>
      <w:r>
        <w:rPr>
          <w:sz w:val="28"/>
        </w:rPr>
      </w:r>
    </w:p>
    <w:p>
      <w:pPr>
        <w:pStyle w:val="114"/>
        <w:tabs>
          <w:tab w:val="clear" w:pos="709"/>
          <w:tab w:val="left" w:pos="4707" w:leader="none"/>
        </w:tabs>
        <w:ind w:hanging="0" w:left="77" w:right="0"/>
        <w:jc w:val="center"/>
        <w:rPr>
          <w:rFonts w:ascii="Times New Roman" w:hAnsi="Times New Roman"/>
          <w:sz w:val="28"/>
        </w:rPr>
      </w:pPr>
      <w:r>
        <w:rPr>
          <w:sz w:val="28"/>
        </w:rPr>
      </w:r>
      <w:r>
        <w:br w:type="page"/>
      </w:r>
    </w:p>
    <w:p>
      <w:pPr>
        <w:pStyle w:val="Heading1"/>
        <w:widowControl w:val="false"/>
        <w:spacing w:lineRule="auto" w:line="240" w:before="0" w:after="0"/>
        <w:ind w:hanging="0" w:left="-57" w:right="0"/>
        <w:jc w:val="left"/>
        <w:rPr>
          <w:rFonts w:ascii="Times New Roman" w:hAnsi="Times New Roman"/>
          <w:sz w:val="28"/>
        </w:rPr>
      </w:pPr>
      <w:bookmarkStart w:id="0" w:name="__RefHeading___1"/>
      <w:bookmarkEnd w:id="0"/>
      <w:r>
        <w:rPr>
          <w:sz w:val="28"/>
        </w:rPr>
        <w:t>Перечень условных обозначений, сокращений и терминов</w:t>
      </w:r>
    </w:p>
    <w:tbl>
      <w:tblPr>
        <w:tblStyle w:val="Style_3"/>
        <w:tblW w:w="9924" w:type="dxa"/>
        <w:jc w:val="left"/>
        <w:tblInd w:w="0" w:type="dxa"/>
        <w:tblLayout w:type="fixed"/>
        <w:tblCellMar>
          <w:top w:w="0" w:type="dxa"/>
          <w:left w:w="10" w:type="dxa"/>
          <w:bottom w:w="0" w:type="dxa"/>
          <w:right w:w="10" w:type="dxa"/>
        </w:tblCellMar>
      </w:tblPr>
      <w:tblGrid>
        <w:gridCol w:w="2262"/>
        <w:gridCol w:w="7661"/>
      </w:tblGrid>
      <w:tr>
        <w:trPr>
          <w:trHeight w:val="721"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Участники экзамена(-ов)</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Участники ГИА с ОВЗ, участники ГИА – дети-инвалиды и инвалиды</w:t>
            </w:r>
          </w:p>
        </w:tc>
      </w:tr>
      <w:tr>
        <w:trPr>
          <w:trHeight w:val="720"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ГИА</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Государственная итоговая аттестация по образовательным программам среднего общего образования</w:t>
            </w:r>
          </w:p>
        </w:tc>
      </w:tr>
      <w:tr>
        <w:trPr>
          <w:trHeight w:val="434"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ГВЭ</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Государственный выпускной экзамен</w:t>
            </w:r>
          </w:p>
        </w:tc>
      </w:tr>
      <w:tr>
        <w:trPr>
          <w:trHeight w:val="1099"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ГЭК</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Государственная экзаменационная комиссия Камчатского края по проведению государственной итоговой аттестации по образовательным программам среднего общего образования</w:t>
            </w:r>
          </w:p>
        </w:tc>
      </w:tr>
      <w:tr>
        <w:trPr>
          <w:trHeight w:val="406"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ЕГЭ</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Единый государственный экзамен</w:t>
            </w:r>
          </w:p>
        </w:tc>
      </w:tr>
      <w:tr>
        <w:trPr>
          <w:trHeight w:val="390"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ИК</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Индивидуальный комплект ЭМ</w:t>
            </w:r>
          </w:p>
        </w:tc>
      </w:tr>
      <w:tr>
        <w:trPr>
          <w:trHeight w:val="1322"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Бланки ответов</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TableParagraph11"/>
              <w:widowControl w:val="false"/>
              <w:tabs>
                <w:tab w:val="clear" w:pos="709"/>
                <w:tab w:val="left" w:pos="4707" w:leader="none"/>
              </w:tabs>
              <w:spacing w:lineRule="auto" w:line="240" w:before="0" w:after="0"/>
              <w:ind w:hanging="0" w:left="0" w:right="101"/>
              <w:jc w:val="both"/>
              <w:rPr>
                <w:rFonts w:ascii="Times New Roman" w:hAnsi="Times New Roman"/>
                <w:sz w:val="28"/>
              </w:rPr>
            </w:pPr>
            <w:r>
              <w:rPr>
                <w:color w:val="000000"/>
                <w:spacing w:val="0"/>
                <w:kern w:val="0"/>
                <w:sz w:val="28"/>
                <w:szCs w:val="20"/>
              </w:rPr>
              <w:t>Бланки для записи ответов на задания КИМ для проведения ЕГЭ с кратким ответом, бланки для записи ответов на задания КИМ для проведения ЕГЭ с развернутым ответом, бланки для записи ответов на задания КИМ для проведения ГВЭ.</w:t>
            </w:r>
          </w:p>
        </w:tc>
      </w:tr>
      <w:tr>
        <w:trPr>
          <w:trHeight w:val="1208"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ДБО</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TableParagraph11"/>
              <w:widowControl w:val="false"/>
              <w:tabs>
                <w:tab w:val="clear" w:pos="709"/>
                <w:tab w:val="left" w:pos="4707" w:leader="none"/>
              </w:tabs>
              <w:spacing w:lineRule="auto" w:line="240" w:before="0" w:after="0"/>
              <w:ind w:hanging="0" w:left="0" w:right="284"/>
              <w:jc w:val="left"/>
              <w:rPr>
                <w:rFonts w:ascii="Times New Roman" w:hAnsi="Times New Roman"/>
                <w:sz w:val="28"/>
              </w:rPr>
            </w:pPr>
            <w:r>
              <w:rPr>
                <w:color w:val="000000"/>
                <w:spacing w:val="0"/>
                <w:kern w:val="0"/>
                <w:sz w:val="28"/>
                <w:szCs w:val="20"/>
              </w:rPr>
              <w:t>Дополнительные бланки для записи ответов на задания КИМ для проведения ЕГЭ с развернутым ответом, дополнительные бланки для записи ответов на задания КИМ для проведения ГВЭ.</w:t>
            </w:r>
          </w:p>
        </w:tc>
      </w:tr>
      <w:tr>
        <w:trPr>
          <w:trHeight w:val="691"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КИМ</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Контрольные измерительные материалы, представляющие собой комплексы заданий стандартизированной формы</w:t>
            </w:r>
          </w:p>
        </w:tc>
      </w:tr>
      <w:tr>
        <w:trPr>
          <w:trHeight w:val="499"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КЕГЭ</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ЕГЭ по учебному предмету «Информатика» в компьютерной форме</w:t>
            </w:r>
          </w:p>
        </w:tc>
      </w:tr>
      <w:tr>
        <w:trPr>
          <w:trHeight w:val="1271"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Образовательная организация</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Организация, осуществляющая образовательную деятельность по имеющим государственную аккредитацию образовательным программам основного общего образования и среднего общего образования</w:t>
            </w:r>
          </w:p>
        </w:tc>
      </w:tr>
      <w:tr>
        <w:trPr>
          <w:trHeight w:val="425"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АК</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Апелляционная комиссия Камчатского края</w:t>
            </w:r>
          </w:p>
        </w:tc>
      </w:tr>
      <w:tr>
        <w:trPr>
          <w:trHeight w:val="407"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ОВЗ</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Ограниченные возможности здоровья</w:t>
            </w:r>
          </w:p>
        </w:tc>
      </w:tr>
      <w:tr>
        <w:trPr>
          <w:trHeight w:val="437"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Министерство</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Министерство образования Камчатского края</w:t>
            </w:r>
          </w:p>
        </w:tc>
      </w:tr>
      <w:tr>
        <w:trPr>
          <w:trHeight w:val="440"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ПМПК</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Психолого-медико-педагогическая комиссия</w:t>
            </w:r>
          </w:p>
        </w:tc>
      </w:tr>
      <w:tr>
        <w:trPr>
          <w:trHeight w:val="904"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Положение о ПМПК</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Положение о психолого-медико-педагогической комиссии, утвержденное приказом Минпросвещения России</w:t>
            </w:r>
          </w:p>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от 1 сентября 2024 г. № 763</w:t>
            </w:r>
          </w:p>
        </w:tc>
      </w:tr>
      <w:tr>
        <w:trPr>
          <w:trHeight w:val="715"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Рекомендации ПМПК</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Оригинал или надлежащим образом заверенная копия рекомендаций ПМПК</w:t>
            </w:r>
          </w:p>
        </w:tc>
      </w:tr>
      <w:tr>
        <w:trPr>
          <w:trHeight w:val="1278"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Справка, подтверждающая инвалидность</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Оригинал или надлежащим образом заверенная копия справки, подтверждающей факт установления инвалидности, выданная федеральным государственным учреждением медико-социальной экспертизы</w:t>
            </w:r>
          </w:p>
        </w:tc>
      </w:tr>
      <w:tr>
        <w:trPr>
          <w:trHeight w:val="417"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Пакеты</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Возвратные доставочные пакеты</w:t>
            </w:r>
          </w:p>
        </w:tc>
      </w:tr>
      <w:tr>
        <w:trPr>
          <w:trHeight w:val="1263"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Порядок ГИА</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Порядок проведения государственной итоговой аттестации по образовательным программам среднего общего образования, утвержденный приказом Минпросвещения России и Рособрнадзора от 4 апреля 2023 г. № 233/552</w:t>
            </w:r>
          </w:p>
        </w:tc>
      </w:tr>
      <w:tr>
        <w:trPr>
          <w:trHeight w:val="455"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ППЭ</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Пункт проведения экзамена</w:t>
            </w:r>
          </w:p>
        </w:tc>
      </w:tr>
      <w:tr>
        <w:trPr>
          <w:trHeight w:val="982"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РЦОИ</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КГАУ «Камчатский центр информатизации и оценки качества образования», выполняющий функции регионального центра обработки информации</w:t>
            </w:r>
          </w:p>
        </w:tc>
      </w:tr>
      <w:tr>
        <w:trPr>
          <w:trHeight w:val="1293"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РИС</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Региональная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tc>
      </w:tr>
      <w:tr>
        <w:trPr>
          <w:trHeight w:val="408"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Рособрнадзор</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Федеральная служба по надзору в сфере образования и науки</w:t>
            </w:r>
          </w:p>
        </w:tc>
      </w:tr>
      <w:tr>
        <w:trPr>
          <w:trHeight w:val="391"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Сеть «Интернет»</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Информационно-телекоммуникационная сеть «Интернет»</w:t>
            </w:r>
          </w:p>
        </w:tc>
      </w:tr>
      <w:tr>
        <w:trPr>
          <w:trHeight w:val="1046"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Шрифт Брайля</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Рельефно-точечный тактильный шрифт, предназначенный для письма и чтения слепыми и слабовидящими участниками экзамена</w:t>
            </w:r>
          </w:p>
        </w:tc>
      </w:tr>
      <w:tr>
        <w:trPr>
          <w:trHeight w:val="1200"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Специальные тетради для записи ответов</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2222" w:leader="none"/>
                <w:tab w:val="left" w:pos="4707" w:leader="none"/>
                <w:tab w:val="left" w:pos="4877" w:leader="none"/>
              </w:tabs>
              <w:spacing w:lineRule="auto" w:line="240" w:before="0" w:after="0"/>
              <w:ind w:hanging="0" w:left="0" w:right="0"/>
              <w:jc w:val="both"/>
              <w:rPr>
                <w:rFonts w:ascii="Times New Roman" w:hAnsi="Times New Roman"/>
                <w:sz w:val="28"/>
              </w:rPr>
            </w:pPr>
            <w:r>
              <w:rPr>
                <w:spacing w:val="0"/>
                <w:kern w:val="0"/>
                <w:sz w:val="28"/>
                <w:szCs w:val="20"/>
              </w:rPr>
              <w:t>Специальные тетради для записи ответов на задания КИМ, выполненных шрифтом Брайля</w:t>
            </w:r>
          </w:p>
        </w:tc>
      </w:tr>
      <w:tr>
        <w:trPr>
          <w:trHeight w:val="736"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ФЦТ</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TableParagraph11"/>
              <w:widowControl w:val="false"/>
              <w:tabs>
                <w:tab w:val="clear" w:pos="709"/>
                <w:tab w:val="left" w:pos="2032" w:leader="none"/>
                <w:tab w:val="left" w:pos="4366" w:leader="none"/>
                <w:tab w:val="left" w:pos="4707" w:leader="none"/>
                <w:tab w:val="left" w:pos="6107" w:leader="none"/>
              </w:tabs>
              <w:spacing w:lineRule="auto" w:line="240" w:before="54" w:after="0"/>
              <w:ind w:hanging="0" w:left="0" w:right="0"/>
              <w:jc w:val="left"/>
              <w:rPr>
                <w:rFonts w:ascii="Times New Roman" w:hAnsi="Times New Roman"/>
                <w:sz w:val="28"/>
              </w:rPr>
            </w:pPr>
            <w:r>
              <w:rPr>
                <w:color w:val="000000"/>
                <w:spacing w:val="0"/>
                <w:kern w:val="0"/>
                <w:sz w:val="28"/>
                <w:szCs w:val="20"/>
              </w:rPr>
              <w:t>Федеральное государственное бюджетное учреждение</w:t>
            </w:r>
          </w:p>
          <w:p>
            <w:pPr>
              <w:pStyle w:val="113"/>
              <w:widowControl w:val="false"/>
              <w:tabs>
                <w:tab w:val="clear" w:pos="709"/>
                <w:tab w:val="left" w:pos="2222" w:leader="none"/>
                <w:tab w:val="left" w:pos="4707" w:leader="none"/>
                <w:tab w:val="left" w:pos="4877" w:leader="none"/>
              </w:tabs>
              <w:spacing w:lineRule="auto" w:line="240" w:before="0" w:after="0"/>
              <w:ind w:hanging="0" w:left="0" w:right="0"/>
              <w:jc w:val="both"/>
              <w:rPr>
                <w:rFonts w:ascii="Times New Roman" w:hAnsi="Times New Roman"/>
                <w:sz w:val="28"/>
              </w:rPr>
            </w:pPr>
            <w:r>
              <w:rPr>
                <w:spacing w:val="0"/>
                <w:kern w:val="0"/>
                <w:sz w:val="28"/>
                <w:szCs w:val="20"/>
              </w:rPr>
              <w:t>«Федеральный центр тестирования»</w:t>
            </w:r>
          </w:p>
        </w:tc>
      </w:tr>
      <w:tr>
        <w:trPr>
          <w:trHeight w:val="1146"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Черновики</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Листы бумаги для черновиков, выданные в ППЭ, со штампом образовательной организации, на базе которой организован ППЭ</w:t>
            </w:r>
          </w:p>
        </w:tc>
      </w:tr>
      <w:tr>
        <w:trPr>
          <w:trHeight w:val="402"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ЭМ</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Бланки регистрации, бланки ответов, ДБО и КИМ</w:t>
            </w:r>
          </w:p>
        </w:tc>
      </w:tr>
      <w:tr>
        <w:trPr>
          <w:trHeight w:val="410" w:hRule="exact"/>
        </w:trPr>
        <w:tc>
          <w:tcPr>
            <w:tcW w:w="2262"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left"/>
              <w:rPr>
                <w:rFonts w:ascii="Times New Roman" w:hAnsi="Times New Roman"/>
                <w:sz w:val="28"/>
              </w:rPr>
            </w:pPr>
            <w:r>
              <w:rPr>
                <w:spacing w:val="0"/>
                <w:kern w:val="0"/>
                <w:sz w:val="28"/>
                <w:szCs w:val="20"/>
              </w:rPr>
              <w:t>ЭР</w:t>
            </w:r>
          </w:p>
        </w:tc>
        <w:tc>
          <w:tcPr>
            <w:tcW w:w="7661" w:type="dxa"/>
            <w:tcBorders>
              <w:top w:val="single" w:sz="4" w:space="0" w:color="000000"/>
              <w:left w:val="single" w:sz="4" w:space="0" w:color="000000"/>
              <w:bottom w:val="single" w:sz="4" w:space="0" w:color="000000"/>
              <w:right w:val="single" w:sz="4" w:space="0" w:color="000000"/>
            </w:tcBorders>
            <w:shd w:fill="FFFFFF" w:val="clear"/>
          </w:tcPr>
          <w:p>
            <w:pPr>
              <w:pStyle w:val="113"/>
              <w:widowControl w:val="false"/>
              <w:tabs>
                <w:tab w:val="clear" w:pos="709"/>
                <w:tab w:val="left" w:pos="4707" w:leader="none"/>
              </w:tabs>
              <w:spacing w:lineRule="auto" w:line="240" w:before="0" w:after="0"/>
              <w:ind w:hanging="0" w:left="0" w:right="0"/>
              <w:jc w:val="both"/>
              <w:rPr>
                <w:rFonts w:ascii="Times New Roman" w:hAnsi="Times New Roman"/>
                <w:sz w:val="28"/>
              </w:rPr>
            </w:pPr>
            <w:r>
              <w:rPr>
                <w:spacing w:val="0"/>
                <w:kern w:val="0"/>
                <w:sz w:val="28"/>
                <w:szCs w:val="20"/>
              </w:rPr>
              <w:t>Экзаменационная работа</w:t>
            </w:r>
          </w:p>
        </w:tc>
      </w:tr>
    </w:tbl>
    <w:p>
      <w:pPr>
        <w:pStyle w:val="Normal"/>
        <w:tabs>
          <w:tab w:val="clear" w:pos="709"/>
          <w:tab w:val="left" w:pos="4707" w:leader="none"/>
        </w:tabs>
        <w:rPr>
          <w:rFonts w:ascii="Times New Roman" w:hAnsi="Times New Roman"/>
          <w:sz w:val="28"/>
        </w:rPr>
      </w:pPr>
      <w:r>
        <w:rPr>
          <w:rFonts w:ascii="Times New Roman" w:hAnsi="Times New Roman"/>
          <w:sz w:val="28"/>
        </w:rPr>
      </w:r>
    </w:p>
    <w:p>
      <w:pPr>
        <w:pStyle w:val="Normal"/>
        <w:tabs>
          <w:tab w:val="clear" w:pos="709"/>
          <w:tab w:val="left" w:pos="4707" w:leader="none"/>
        </w:tabs>
        <w:rPr>
          <w:rFonts w:ascii="Times New Roman" w:hAnsi="Times New Roman"/>
          <w:sz w:val="28"/>
        </w:rPr>
      </w:pPr>
      <w:r>
        <w:rPr>
          <w:rFonts w:ascii="Times New Roman" w:hAnsi="Times New Roman"/>
          <w:sz w:val="28"/>
        </w:rPr>
      </w:r>
      <w:r>
        <w:br w:type="page"/>
      </w:r>
    </w:p>
    <w:p>
      <w:pPr>
        <w:pStyle w:val="Heading1"/>
        <w:widowControl w:val="false"/>
        <w:numPr>
          <w:ilvl w:val="0"/>
          <w:numId w:val="0"/>
        </w:numPr>
        <w:bidi w:val="0"/>
        <w:spacing w:lineRule="auto" w:line="240" w:before="0" w:after="0"/>
        <w:ind w:hanging="0" w:left="0" w:right="0"/>
        <w:jc w:val="center"/>
        <w:rPr>
          <w:rFonts w:ascii="Times New Roman" w:hAnsi="Times New Roman"/>
          <w:sz w:val="28"/>
        </w:rPr>
      </w:pPr>
      <w:r>
        <w:rPr/>
      </w:r>
    </w:p>
    <w:p>
      <w:pPr>
        <w:pStyle w:val="Heading1"/>
        <w:widowControl w:val="false"/>
        <w:numPr>
          <w:ilvl w:val="0"/>
          <w:numId w:val="1"/>
        </w:numPr>
        <w:bidi w:val="0"/>
        <w:spacing w:lineRule="auto" w:line="240" w:before="0" w:after="0"/>
        <w:ind w:hanging="0" w:left="0" w:right="0"/>
        <w:jc w:val="center"/>
        <w:rPr>
          <w:rFonts w:ascii="Times New Roman" w:hAnsi="Times New Roman"/>
          <w:sz w:val="28"/>
        </w:rPr>
      </w:pPr>
      <w:bookmarkStart w:id="1" w:name="__RefHeading___2"/>
      <w:bookmarkStart w:id="2" w:name="bookmark7"/>
      <w:bookmarkStart w:id="3" w:name="bookmark6"/>
      <w:bookmarkStart w:id="4" w:name="bookmark8"/>
      <w:bookmarkEnd w:id="1"/>
      <w:r>
        <w:rPr>
          <w:sz w:val="28"/>
        </w:rPr>
        <w:t xml:space="preserve">Особенности подготовки ППЭ </w:t>
        <w:br/>
        <w:t>и аудиторий</w:t>
      </w:r>
      <w:bookmarkEnd w:id="2"/>
      <w:bookmarkEnd w:id="3"/>
      <w:bookmarkEnd w:id="4"/>
      <w:r>
        <w:rPr>
          <w:sz w:val="28"/>
        </w:rPr>
        <w:t xml:space="preserve"> к проведению ГИА</w:t>
      </w:r>
    </w:p>
    <w:p>
      <w:pPr>
        <w:pStyle w:val="BodyText"/>
        <w:jc w:val="center"/>
        <w:rPr>
          <w:rFonts w:ascii="Times New Roman" w:hAnsi="Times New Roman"/>
          <w:b/>
          <w:sz w:val="28"/>
        </w:rPr>
      </w:pPr>
      <w:r>
        <w:rPr>
          <w:b/>
          <w:sz w:val="28"/>
        </w:rPr>
      </w:r>
    </w:p>
    <w:p>
      <w:pPr>
        <w:pStyle w:val="1111"/>
        <w:numPr>
          <w:ilvl w:val="0"/>
          <w:numId w:val="2"/>
        </w:numPr>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В ППЭ, организованных на базе образовательной организации, медицинской организации, определяется специализированная (отдельная) аудитория (-и) для проведения экзаменов для участников экзаменов.</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Возможно создание отдельных «опорных» ППЭ с оптимальными условиями проведения экзамена для участников экзаменов по определенным нозологическим группам или ограничениям по здоровью, оборудованных соответствующими специальными техническими средствами.</w:t>
      </w:r>
    </w:p>
    <w:p>
      <w:pPr>
        <w:pStyle w:val="1111"/>
        <w:numPr>
          <w:ilvl w:val="0"/>
          <w:numId w:val="2"/>
        </w:numPr>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Рекомендуется организовывать специализированные (отдельные) аудитории для участников экзаменов следующих категорий нозологических групп:</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 xml:space="preserve">а) слепых, поздноослепших, слабовидящих, владеющих шрифтом Брайля; </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б) слабовидящих;</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в) глухих;</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 xml:space="preserve">г) слабослышащих, позднооглохших, кохлеарно имплантированных; </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д) с нарушениями опорно-двигательного аппарата;</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е) с расстройствами аутистического спектра;</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ж) иных категорий участников экзамена, которым требуется создание особых условий (диабет, онкология, астма и др.).</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Особенности распределения участников экзаменов по аудиториям при проведении ГИА в форме ГВЭ по русскому языку представлены в инструкции по организации и проведению государственного выпускного экзамена по образовательным программам среднего общего образования в 2026 году.</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Допускается нахождение в одной аудитории участников экзаменов, относящихся к разным нозологическим группам</w:t>
      </w:r>
      <w:r>
        <w:rPr>
          <w:rStyle w:val="FootnoteReference"/>
          <w:sz w:val="28"/>
        </w:rPr>
        <w:footnoteReference w:id="2"/>
      </w:r>
      <w:r>
        <w:rPr>
          <w:sz w:val="28"/>
        </w:rPr>
        <w:t>.</w:t>
      </w:r>
    </w:p>
    <w:p>
      <w:pPr>
        <w:pStyle w:val="1111"/>
        <w:numPr>
          <w:ilvl w:val="0"/>
          <w:numId w:val="2"/>
        </w:numPr>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Специализированные (отдельные) аудитории для проведения экзаменов оборудуются средствами видеонаблюдения, позволяющими осуществлять видеозапись без трансляции проведения экзаменов в сети «Интернет» (в режиме «офлайн»)</w:t>
      </w:r>
      <w:r>
        <w:rPr>
          <w:rStyle w:val="FootnoteReference"/>
          <w:sz w:val="28"/>
        </w:rPr>
        <w:footnoteReference w:id="3"/>
      </w:r>
      <w:r>
        <w:rPr>
          <w:sz w:val="28"/>
        </w:rPr>
        <w:t>.</w:t>
      </w:r>
    </w:p>
    <w:p>
      <w:pPr>
        <w:pStyle w:val="1111"/>
        <w:numPr>
          <w:ilvl w:val="0"/>
          <w:numId w:val="2"/>
        </w:numPr>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ППЭ и аудитории, предоставляемые для проведения экзаменов, оборудуются в соответствии с нозологической группой участников экзаменов и в соответствии с условиями, учитывающими состояние их здоровья, особенности психофизического развития, в том числе в соответствии с рекомендациями ПМПК:</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 xml:space="preserve">а) </w:t>
      </w:r>
      <w:r>
        <w:rPr>
          <w:b/>
          <w:sz w:val="28"/>
        </w:rPr>
        <w:t>для участников экзаменов, выполняющих по желанию письменную ЭР на компьютере,</w:t>
      </w:r>
      <w:r>
        <w:rPr>
          <w:sz w:val="28"/>
        </w:rPr>
        <w:t xml:space="preserve"> – компьютерами, не имеющими выхода в сеть «Интернет» и не содержащим информации по сдаваемому учебному предмету;</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 xml:space="preserve">б) </w:t>
      </w:r>
      <w:r>
        <w:rPr>
          <w:b/>
          <w:sz w:val="28"/>
        </w:rPr>
        <w:t>для глухих, слабослышащих, позднооглохших, кохлеарно имплантированных</w:t>
      </w:r>
      <w:r>
        <w:rPr>
          <w:sz w:val="28"/>
        </w:rPr>
        <w:t xml:space="preserve"> – звукоусиливающей аппаратурой как коллективного, так и индивидуального пользования</w:t>
      </w:r>
      <w:r>
        <w:rPr>
          <w:rStyle w:val="FootnoteReference"/>
          <w:sz w:val="28"/>
        </w:rPr>
        <w:footnoteReference w:id="4"/>
      </w:r>
      <w:r>
        <w:rPr>
          <w:sz w:val="28"/>
        </w:rPr>
        <w:t>;</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 xml:space="preserve">в) </w:t>
      </w:r>
      <w:r>
        <w:rPr>
          <w:b/>
          <w:sz w:val="28"/>
        </w:rPr>
        <w:t>для слепых, поздноослепших, слабовидящих, владеющих шрифтом Брайля</w:t>
      </w:r>
      <w:r>
        <w:rPr>
          <w:sz w:val="28"/>
        </w:rPr>
        <w:t>, – специальными принадлежностями для оформления ЭР рельефно-точечным шрифтом Брайля;</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 xml:space="preserve">г) </w:t>
      </w:r>
      <w:r>
        <w:rPr>
          <w:b/>
          <w:sz w:val="28"/>
        </w:rPr>
        <w:t>для слабовидящих участников экзамена</w:t>
      </w:r>
      <w:r>
        <w:rPr>
          <w:sz w:val="28"/>
        </w:rPr>
        <w:t xml:space="preserve"> – устройствами для копирования ЭМ в увеличенном размере</w:t>
      </w:r>
      <w:r>
        <w:rPr>
          <w:rStyle w:val="FootnoteReference"/>
          <w:sz w:val="28"/>
        </w:rPr>
        <w:footnoteReference w:id="5"/>
      </w:r>
      <w:r>
        <w:rPr>
          <w:sz w:val="28"/>
        </w:rPr>
        <w:t>, увеличительными устройствами (лупа или иное увеличительное устройство), индивидуальным равномерным освещением не менее 300 люкс</w:t>
      </w:r>
      <w:r>
        <w:rPr>
          <w:rStyle w:val="FootnoteReference"/>
          <w:sz w:val="28"/>
        </w:rPr>
        <w:footnoteReference w:id="6"/>
      </w:r>
      <w:r>
        <w:rPr>
          <w:sz w:val="28"/>
        </w:rPr>
        <w:t>;</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 xml:space="preserve">д) </w:t>
      </w:r>
      <w:r>
        <w:rPr>
          <w:b/>
          <w:sz w:val="28"/>
        </w:rPr>
        <w:t xml:space="preserve">с нарушениями опорно-двигательного аппарата </w:t>
      </w:r>
      <w:r>
        <w:rPr>
          <w:sz w:val="28"/>
        </w:rPr>
        <w:t>– специализированная (отдельная) аудитория в ППЭ находится на первом этаже</w:t>
      </w:r>
      <w:r>
        <w:rPr>
          <w:rStyle w:val="FootnoteReference"/>
          <w:sz w:val="28"/>
        </w:rPr>
        <w:footnoteReference w:id="7"/>
      </w:r>
      <w:r>
        <w:rPr>
          <w:sz w:val="28"/>
        </w:rPr>
        <w:t>. В специализированной (отдельной) аудитории должны быть специальные кресла, медицинские лежаки – для участников экзаменов, которые не могут долго сидеть (при необходимости), специальные периферические устройства ввода (ножная мышь, роллер, джойстик, головная мышь и др.) (при необходимости).</w:t>
      </w:r>
    </w:p>
    <w:p>
      <w:pPr>
        <w:pStyle w:val="1111"/>
        <w:numPr>
          <w:ilvl w:val="0"/>
          <w:numId w:val="2"/>
        </w:numPr>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Количество рабочих мест в каждой аудитории определяется в зависимости от категории нозологической группы, в том числе в зависимости от используемых участниками экзаменов специальных технических средств.</w:t>
      </w:r>
    </w:p>
    <w:p>
      <w:pPr>
        <w:pStyle w:val="1111"/>
        <w:numPr>
          <w:ilvl w:val="0"/>
          <w:numId w:val="2"/>
        </w:numPr>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В аудиториях предусматриваются места для ассистентов.</w:t>
      </w:r>
    </w:p>
    <w:p>
      <w:pPr>
        <w:pStyle w:val="1111"/>
        <w:numPr>
          <w:ilvl w:val="0"/>
          <w:numId w:val="2"/>
        </w:numPr>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Рекомендуется размещать в аудитории не более 5 участников экзамена, сдающих экзамен с помощью ассистента. В случае распределения в аудиторию более 5 участников экзамена, сдающих экзамен с помощью ассистента, обеспечиваются условия проведения экзамена с учетом того, что ассистенты не будут мешать и (или) отвлекать других участников экзамена от выполнения ЭР.</w:t>
      </w:r>
    </w:p>
    <w:p>
      <w:pPr>
        <w:pStyle w:val="1111"/>
        <w:numPr>
          <w:ilvl w:val="0"/>
          <w:numId w:val="2"/>
        </w:numPr>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При проведении экзаменов по нескольким учебным предметам в один день в соответствии с единым расписанием ГИА допускается рассадка в одну специализированную (отдельную) аудиторию участников экзаменов не более чем по двум разным учебным предметам</w:t>
      </w:r>
      <w:r>
        <w:rPr>
          <w:rStyle w:val="FootnoteReference"/>
          <w:sz w:val="28"/>
        </w:rPr>
        <w:footnoteReference w:id="8"/>
      </w:r>
      <w:r>
        <w:rPr>
          <w:sz w:val="28"/>
        </w:rPr>
        <w:t>.</w:t>
      </w:r>
    </w:p>
    <w:p>
      <w:pPr>
        <w:pStyle w:val="1111"/>
        <w:numPr>
          <w:ilvl w:val="0"/>
          <w:numId w:val="2"/>
        </w:numPr>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Подготовливаются в нужном количестве напечатанные Инструкции для участников экзаменов, зачитываемые организаторами в аудиториях перед началом экзамена</w:t>
      </w:r>
      <w:r>
        <w:rPr>
          <w:rStyle w:val="FootnoteReference"/>
          <w:sz w:val="28"/>
        </w:rPr>
        <w:footnoteReference w:id="9"/>
      </w:r>
      <w:r>
        <w:rPr>
          <w:sz w:val="28"/>
        </w:rPr>
        <w:t>, и Правила по заполнению бланков для глухих, позднооглохших, слабослышащих, кохлеарно имплантированных участников экзаменов, участников экзаменов с расстройствами аутистического спектра.</w:t>
      </w:r>
    </w:p>
    <w:p>
      <w:pPr>
        <w:pStyle w:val="1111"/>
        <w:numPr>
          <w:ilvl w:val="0"/>
          <w:numId w:val="2"/>
        </w:numPr>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Министерство принимает решение об организации работы Комиссии тифлопереводчиков в аудитории проведения экзамена в ППЭ после окончания экзамена или в РЦОИ.</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В ППЭ, в котором проводится экзамен для слепых, поздноослепших, слабовидящих участников экзаменов, владеющих шрифтом Брайля, а также осуществляет свою работу Комиссия тифлопереводчиков, количество членов ГЭК увеличивается.</w:t>
      </w:r>
    </w:p>
    <w:p>
      <w:pPr>
        <w:pStyle w:val="1111"/>
        <w:numPr>
          <w:ilvl w:val="0"/>
          <w:numId w:val="2"/>
        </w:numPr>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ППЭ может быть организован на дому по месту жительства участников экзаменов или на базе медицинской организации, в том числе санаторно-курортной, в которой проводятся необходимые лечебные, реабилитационные и оздоровительные мероприятия для нуждающихся в длительном лечении.</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Основанием для организации экзаменов на дому, в медицинской организации являются заключение медицинской организации и рекомендации ПМПК</w:t>
      </w:r>
      <w:r>
        <w:rPr>
          <w:rStyle w:val="FootnoteReference"/>
          <w:sz w:val="28"/>
        </w:rPr>
        <w:footnoteReference w:id="10"/>
      </w:r>
      <w:r>
        <w:rPr>
          <w:sz w:val="28"/>
        </w:rPr>
        <w:t>.</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При организации ППЭ на дому, медицинской организации выполняются минимальные требования к процедуре и технологии проведения экзаменов.</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В день проведения экзамена в ППЭ, организованном на дому, в медицинской организации, присутствуют руководитель ППЭ, организатор, член ГЭК, ассистент (при необходимости).</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По решению ГЭК руководитель ППЭ, организатор, член ГЭК, ассистент (при необходимости) могут осуществлять функциональные обязанности технического специалиста, экзаменатора-собеседника (например, организатор, который может одновременно выполнять функции технического специалиста, экзаменатора-собеседника).</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Лица, привлекаемые к проведению экзаменов в ППЭ на дому, в медицинской организации, прибывают в указанный ППЭ не ранее 09:00 по местному времени.</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Для участников экзаменов организуются рабочие места с учетом состояния их здоровья, а также рабочие места для всех работников ППЭ, организованного на дому, в медицинской организации.</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При проведении ЕГЭ по учебным предметам «Иностранные языки» (устная часть), КЕГЭ в связи с тем, что данные экзамены являются высокотехнологичными и предполагают обязательное использование компьютерной техники со специализированным программным обеспечением для демонстрации КИМ и записи устных ответов участников экзаменов необходимо обеспечить следующий минимальный набор оборудования:</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а) компьютер (ноутбук), имеющий выход в сеть «Интернет», с настроенным доступом к личному кабинету ППЭ, отвечающий требованиям к такому компьютеру;</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б) компьютер (ноутбук), не имеющий выхода в сеть «Интернет», с установленным программным обеспечением «Станция записи ответов» и подключенной гарнитурой (для ЕГЭ по учебным предметам «Иностранные языки», устная часть), «Станция КЕГЭ» (для КЕГЭ) и «Станция организатора» актуальной версии с подключенным лазерным принтером;</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в) в случае если в ППЭ на дому/в медицинской организации производится сканирование материалов экзамена, на компьютер, не имеющий выхода в сеть «Интернет», также должна быть установлена станция Штаба ППЭ и подключен сканер.</w:t>
      </w:r>
    </w:p>
    <w:p>
      <w:pPr>
        <w:pStyle w:val="1111"/>
        <w:tabs>
          <w:tab w:val="clear" w:pos="709"/>
          <w:tab w:val="left" w:pos="1134" w:leader="none"/>
          <w:tab w:val="left" w:pos="1276" w:leader="none"/>
          <w:tab w:val="left" w:pos="4707" w:leader="none"/>
        </w:tabs>
        <w:ind w:firstLine="709" w:left="0" w:right="0"/>
        <w:jc w:val="both"/>
        <w:rPr>
          <w:rFonts w:ascii="Times New Roman" w:hAnsi="Times New Roman"/>
          <w:sz w:val="28"/>
        </w:rPr>
      </w:pPr>
      <w:r>
        <w:rPr>
          <w:sz w:val="28"/>
        </w:rPr>
        <w:t>Для данного ППЭ проводят процедуры технической подготовки и контроля технической готовности в установленные сроки. Указанные процедуры допустимо провести по месту расположения той организации, которой принадлежит используемая техника.</w:t>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Heading1"/>
        <w:widowControl w:val="false"/>
        <w:numPr>
          <w:ilvl w:val="0"/>
          <w:numId w:val="1"/>
        </w:numPr>
        <w:spacing w:lineRule="auto" w:line="240" w:before="0" w:after="0"/>
        <w:ind w:hanging="0" w:left="0" w:right="0"/>
        <w:jc w:val="center"/>
        <w:rPr>
          <w:rFonts w:ascii="Times New Roman" w:hAnsi="Times New Roman"/>
          <w:sz w:val="28"/>
        </w:rPr>
      </w:pPr>
      <w:bookmarkStart w:id="5" w:name="__RefHeading___3"/>
      <w:bookmarkStart w:id="6" w:name="bookmark9"/>
      <w:bookmarkStart w:id="7" w:name="bookmark10"/>
      <w:bookmarkStart w:id="8" w:name="bookmark11"/>
      <w:bookmarkEnd w:id="5"/>
      <w:r>
        <w:rPr>
          <w:sz w:val="28"/>
        </w:rPr>
        <w:t>Ассистенты</w:t>
      </w:r>
      <w:bookmarkEnd w:id="6"/>
      <w:bookmarkEnd w:id="7"/>
      <w:bookmarkEnd w:id="8"/>
    </w:p>
    <w:p>
      <w:pPr>
        <w:pStyle w:val="1111"/>
        <w:numPr>
          <w:ilvl w:val="0"/>
          <w:numId w:val="3"/>
        </w:numPr>
        <w:tabs>
          <w:tab w:val="clear" w:pos="709"/>
          <w:tab w:val="left" w:pos="993" w:leader="none"/>
          <w:tab w:val="left" w:pos="4707" w:leader="none"/>
        </w:tabs>
        <w:ind w:firstLine="709" w:left="0" w:right="0"/>
        <w:jc w:val="both"/>
        <w:rPr>
          <w:rFonts w:ascii="Times New Roman" w:hAnsi="Times New Roman"/>
          <w:sz w:val="28"/>
        </w:rPr>
      </w:pPr>
      <w:r>
        <w:rPr>
          <w:sz w:val="28"/>
        </w:rPr>
        <w:t>При проведении экзаменов для участников экзаменов ПМПК может быть рекомендован ассистент, прошедший соответствующую подготовку. Организацию подготовки ассистентов осуществляет Министерство.</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 xml:space="preserve">Не допускается привлекать в качестве ассистентов: </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а) специалистов по сдаваемому учебному предмету;</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б) педагогических работников, являющихся учителями участников экзаменов, сдающих экзамен в данном ППЭ (за исключением ППЭ, организованных в труднодоступных и отдаленных местностях, в образовательных организациях, расположенных за пределами территории Российской Федерации, загранучреждениях, а также в учреждениях уголовно-исполнительной системы).</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Ассистентом может быть определен работник образовательной организации (в том числе школьный психолог, тьютор), социальный работник, а также в исключительных случаях – родитель (законный представитель) участника экзамена</w:t>
      </w:r>
      <w:r>
        <w:rPr>
          <w:rStyle w:val="FootnoteReference"/>
          <w:sz w:val="28"/>
        </w:rPr>
        <w:footnoteReference w:id="11"/>
      </w:r>
      <w:r>
        <w:rPr>
          <w:sz w:val="28"/>
        </w:rPr>
        <w:t>.</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Для участников экзаменов с расстройствами аутистического спектра привлекаются ассистенты, не ведущие учебный предмет, по которому сдают экзамены указанные участники экзаменов, но хорошо знакомые участникам экзамена (например, школьный психолог или учитель коррекционных занятий по развитию коммуникации и др.), что обеспечит снижение тревоги и риска аффективных срывов у указанных участников экзаменов.</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Для глухих, позднооглохших, слабослышащих, кохлеарно имплантированых участников экзаменов привлекаются ассистенты – учителя-дефектологи (сурдопедагоги), не ведущие учебный предмет, по которому сдается экзамен.</w:t>
      </w:r>
    </w:p>
    <w:p>
      <w:pPr>
        <w:pStyle w:val="1111"/>
        <w:numPr>
          <w:ilvl w:val="0"/>
          <w:numId w:val="3"/>
        </w:numPr>
        <w:tabs>
          <w:tab w:val="clear" w:pos="709"/>
          <w:tab w:val="left" w:pos="993" w:leader="none"/>
          <w:tab w:val="left" w:pos="4707" w:leader="none"/>
        </w:tabs>
        <w:ind w:firstLine="709" w:left="0" w:right="0"/>
        <w:jc w:val="both"/>
        <w:rPr>
          <w:rFonts w:ascii="Times New Roman" w:hAnsi="Times New Roman"/>
          <w:sz w:val="28"/>
        </w:rPr>
      </w:pPr>
      <w:r>
        <w:rPr>
          <w:sz w:val="28"/>
        </w:rPr>
        <w:t>Количество ассистентов рассчитывается с учетом того, что у каждого участника экзамена должен быть свой ассистент. Возможно назначение одного ассистента для двух участников экзамена с условием того, что каждому участнику экзамена будет оказана соответствующая помощь с учетом его индивидуальных психофизических особенностей в соответствии с рекомендациями ПМПК.</w:t>
      </w:r>
    </w:p>
    <w:p>
      <w:pPr>
        <w:pStyle w:val="1111"/>
        <w:numPr>
          <w:ilvl w:val="0"/>
          <w:numId w:val="3"/>
        </w:numPr>
        <w:tabs>
          <w:tab w:val="clear" w:pos="709"/>
          <w:tab w:val="left" w:pos="993" w:leader="none"/>
          <w:tab w:val="left" w:pos="4707" w:leader="none"/>
        </w:tabs>
        <w:ind w:firstLine="709" w:left="0" w:right="0"/>
        <w:jc w:val="both"/>
        <w:rPr>
          <w:rFonts w:ascii="Times New Roman" w:hAnsi="Times New Roman"/>
          <w:sz w:val="28"/>
        </w:rPr>
      </w:pPr>
      <w:r>
        <w:rPr>
          <w:sz w:val="28"/>
        </w:rPr>
        <w:t>Во время экзамена в ППЭ ассистенты оказывают участникам экзаменов необходимую техническую помощь с учетом состояния их здоровья, особенностей психофизического развития и индивидуальных особенностей, в том числе:</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а) обеспечивают сопровождение участников экзаменов в образовательные организации, на базе которых организованы ППЭ;</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б) оказывают помощь в части передвижения по ППЭ, ориентации (в том числе помогают им занять рабочее место в аудитории) и получения информации (не относящейся к содержанию и выполнению заданий КИМ);</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в) оказывают помощь в обеспечении коммуникации (с организаторами, членами ГЭК, руководителем ППЭ и др.), в том числе с использованием коммуникативных устройств, средств альтернативной коммуникации (за исключением средств связи, фото-, аудио- и видеоаппаратуры);</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г) оказывают организующую помощь, при необходимости психологическую эмоциональную поддержку (помогают успокоиться, снизить проявления тревожности), стимулируют деятельность участников экзаменов;</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д) оказывают помощь в использовании технических средств, необходимых для выполнения заданий, технических средств (изделий) реабилитации и обучения;</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е) оказывают помощь в ведении записей, чтении заданий (в том числе в фиксации положения тела, ручки в кисти руки; при оформлении регистрационных полей бланков; приведении в порядок рабочего места и подготовке необходимых принадлежностей; удержании КИМ в вертикальном положении, фиксации строки/абзаца осуществляют записи на черновиках под диктовку участников экзаменов при проведении экзамена в устной форме (для участников экзамена с нарушением опорно-двигательного аппарата);</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ж) оказывают помощь при выполнении ЭР на компьютере (настройки на экране; изменение (увеличение) шрифта; расположение ЭР на экране компьютера с учетом особенностей зрения и др.);</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з) вызывают медицинских работников (при необходимости);</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и) переносят</w:t>
      </w:r>
      <w:r>
        <w:rPr>
          <w:rStyle w:val="FootnoteReference"/>
          <w:sz w:val="28"/>
        </w:rPr>
        <w:footnoteReference w:id="12"/>
      </w:r>
      <w:r>
        <w:rPr>
          <w:sz w:val="28"/>
        </w:rPr>
        <w:t xml:space="preserve"> ответы на задания КИМ, выполненные участниками экзамена с нарушением опорно-двигательного аппарата, слабовидящими участниками экзаменов в бланки увеличенного размера (ДБО увеличенного размера), черновиках, а также ответы на задания КИМ, выполненные участниками экзаменов на компьютере, в бланки ответов, а также в ДБО (при необходимости) ТОЧНО скопировав авторскую орфографию, пунктуацию и стилистику;</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к) ставят в бланке регистрации, а также в протоколе проведения экзамена в аудитории свою подпись, в случае если участник экзамена по состоянию здоровья не может поставить личную подпись в бланке регистрации, в протоколе проведения экзамена в аудитории;</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л) вписывают в отведенном месте на титульном листе специальной тетради для записей ответов ФИО и данные участника экзамена из документа, удостоверяющего его личность, при выполнении ЭР слепыми, поздноослепшими, слабовидящими участниками экзамена, владеющими шрифтом Брайля.</w:t>
      </w:r>
    </w:p>
    <w:p>
      <w:pPr>
        <w:pStyle w:val="1111"/>
        <w:numPr>
          <w:ilvl w:val="0"/>
          <w:numId w:val="3"/>
        </w:numPr>
        <w:tabs>
          <w:tab w:val="clear" w:pos="709"/>
          <w:tab w:val="left" w:pos="993" w:leader="none"/>
          <w:tab w:val="left" w:pos="4707" w:leader="none"/>
        </w:tabs>
        <w:ind w:firstLine="709" w:left="0" w:right="0"/>
        <w:jc w:val="both"/>
        <w:rPr>
          <w:rFonts w:ascii="Times New Roman" w:hAnsi="Times New Roman"/>
          <w:sz w:val="28"/>
        </w:rPr>
      </w:pPr>
      <w:r>
        <w:rPr>
          <w:sz w:val="28"/>
        </w:rPr>
        <w:t>При проведении экзаменов в соответствии с рекомендациями ПМПК, а также по желанию</w:t>
      </w:r>
      <w:r>
        <w:rPr>
          <w:rStyle w:val="FootnoteReference"/>
          <w:sz w:val="28"/>
        </w:rPr>
        <w:footnoteReference w:id="13"/>
      </w:r>
      <w:r>
        <w:rPr>
          <w:sz w:val="28"/>
        </w:rPr>
        <w:t xml:space="preserve"> глухих, позднооглохших, слабослышащих, кохлеарно имплантированных участников экзаменов в качестве ассистентов привлекаются учителя-дефектологи (сурдопедагоги), владеющие сурдопереводом.</w:t>
      </w:r>
    </w:p>
    <w:p>
      <w:pPr>
        <w:pStyle w:val="1111"/>
        <w:numPr>
          <w:ilvl w:val="0"/>
          <w:numId w:val="3"/>
        </w:numPr>
        <w:tabs>
          <w:tab w:val="clear" w:pos="709"/>
          <w:tab w:val="left" w:pos="993" w:leader="none"/>
          <w:tab w:val="left" w:pos="4707" w:leader="none"/>
        </w:tabs>
        <w:ind w:firstLine="709" w:left="0" w:right="0"/>
        <w:jc w:val="both"/>
        <w:rPr>
          <w:rFonts w:ascii="Times New Roman" w:hAnsi="Times New Roman"/>
          <w:sz w:val="28"/>
        </w:rPr>
      </w:pPr>
      <w:r>
        <w:rPr>
          <w:sz w:val="28"/>
        </w:rPr>
        <w:t>Допускается заполнение ассистентами бланков регистрации в соответствии с документами, удостоверяющими личность участников экзаменов, и регистрационных полей бланков ответов, ДБО в соответствии с информацией, оформленной организаторами в аудитории на доске (информационном стенде).</w:t>
      </w:r>
    </w:p>
    <w:p>
      <w:pPr>
        <w:pStyle w:val="1111"/>
        <w:tabs>
          <w:tab w:val="clear" w:pos="709"/>
          <w:tab w:val="left" w:pos="4707" w:leader="none"/>
        </w:tabs>
        <w:ind w:firstLine="709" w:left="0" w:right="0"/>
        <w:jc w:val="both"/>
        <w:rPr>
          <w:rFonts w:ascii="Times New Roman" w:hAnsi="Times New Roman"/>
          <w:sz w:val="28"/>
        </w:rPr>
      </w:pPr>
      <w:r>
        <w:rPr>
          <w:sz w:val="28"/>
        </w:rPr>
      </w:r>
    </w:p>
    <w:p>
      <w:pPr>
        <w:pStyle w:val="1111"/>
        <w:tabs>
          <w:tab w:val="clear" w:pos="709"/>
          <w:tab w:val="left" w:pos="4707" w:leader="none"/>
        </w:tabs>
        <w:ind w:firstLine="709" w:left="0" w:right="0"/>
        <w:jc w:val="both"/>
        <w:rPr>
          <w:rFonts w:ascii="Times New Roman" w:hAnsi="Times New Roman"/>
          <w:sz w:val="28"/>
        </w:rPr>
      </w:pPr>
      <w:r>
        <w:rPr>
          <w:sz w:val="28"/>
        </w:rPr>
      </w:r>
    </w:p>
    <w:p>
      <w:pPr>
        <w:pStyle w:val="Heading1"/>
        <w:widowControl w:val="false"/>
        <w:numPr>
          <w:ilvl w:val="0"/>
          <w:numId w:val="1"/>
        </w:numPr>
        <w:spacing w:lineRule="auto" w:line="240" w:before="0" w:after="0"/>
        <w:ind w:hanging="0" w:left="0" w:right="0"/>
        <w:jc w:val="center"/>
        <w:rPr>
          <w:rFonts w:ascii="Times New Roman" w:hAnsi="Times New Roman"/>
          <w:sz w:val="28"/>
        </w:rPr>
      </w:pPr>
      <w:bookmarkStart w:id="9" w:name="__RefHeading___4"/>
      <w:bookmarkStart w:id="10" w:name="bookmark12"/>
      <w:bookmarkEnd w:id="9"/>
      <w:r>
        <w:rPr>
          <w:sz w:val="28"/>
        </w:rPr>
        <w:t>Особенности проведения ГИА</w:t>
      </w:r>
      <w:bookmarkEnd w:id="10"/>
    </w:p>
    <w:p>
      <w:pPr>
        <w:pStyle w:val="Heading2"/>
        <w:numPr>
          <w:ilvl w:val="1"/>
          <w:numId w:val="1"/>
        </w:numPr>
        <w:ind w:hanging="0" w:left="0" w:right="0"/>
        <w:jc w:val="center"/>
        <w:rPr>
          <w:rFonts w:ascii="Times New Roman" w:hAnsi="Times New Roman"/>
          <w:sz w:val="28"/>
        </w:rPr>
      </w:pPr>
      <w:bookmarkStart w:id="11" w:name="__RefHeading___5"/>
      <w:bookmarkStart w:id="12" w:name="bookmark15"/>
      <w:bookmarkStart w:id="13" w:name="bookmark14"/>
      <w:bookmarkStart w:id="14" w:name="bookmark13"/>
      <w:bookmarkEnd w:id="11"/>
      <w:r>
        <w:rPr>
          <w:rFonts w:ascii="Times New Roman" w:hAnsi="Times New Roman"/>
          <w:b/>
          <w:color w:val="000000"/>
          <w:sz w:val="28"/>
        </w:rPr>
        <w:t>Подготовительный этап: организационно-технологические мероприятия, проводимые в ППЭ</w:t>
      </w:r>
      <w:bookmarkEnd w:id="12"/>
      <w:bookmarkEnd w:id="13"/>
      <w:bookmarkEnd w:id="14"/>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r>
    </w:p>
    <w:p>
      <w:pPr>
        <w:pStyle w:val="1111"/>
        <w:numPr>
          <w:ilvl w:val="0"/>
          <w:numId w:val="4"/>
        </w:numPr>
        <w:tabs>
          <w:tab w:val="clear" w:pos="709"/>
          <w:tab w:val="left" w:pos="993" w:leader="none"/>
          <w:tab w:val="left" w:pos="4707" w:leader="none"/>
        </w:tabs>
        <w:ind w:firstLine="709" w:left="0" w:right="0"/>
        <w:jc w:val="both"/>
        <w:rPr>
          <w:rFonts w:ascii="Times New Roman" w:hAnsi="Times New Roman"/>
          <w:sz w:val="28"/>
        </w:rPr>
      </w:pPr>
      <w:r>
        <w:rPr>
          <w:sz w:val="28"/>
        </w:rPr>
        <w:t>Информация о количестве участников экзаменов в ППЭ и о необходимости организации проведения экзаменов в условиях, учитывающих состояние их здоровья, особенности психофизического развития, направляется Министерством в ППЭ не позднее двух рабочих дней до дня проведения экзамена по соответствующему учебному предмету.</w:t>
      </w:r>
    </w:p>
    <w:p>
      <w:pPr>
        <w:pStyle w:val="1111"/>
        <w:numPr>
          <w:ilvl w:val="0"/>
          <w:numId w:val="4"/>
        </w:numPr>
        <w:tabs>
          <w:tab w:val="clear" w:pos="709"/>
          <w:tab w:val="left" w:pos="993" w:leader="none"/>
          <w:tab w:val="left" w:pos="4707" w:leader="none"/>
        </w:tabs>
        <w:ind w:firstLine="709" w:left="0" w:right="0"/>
        <w:jc w:val="both"/>
        <w:rPr>
          <w:rFonts w:ascii="Times New Roman" w:hAnsi="Times New Roman"/>
          <w:sz w:val="28"/>
        </w:rPr>
      </w:pPr>
      <w:r>
        <w:rPr>
          <w:sz w:val="28"/>
        </w:rPr>
        <w:t>Руководитель ППЭ совместно с руководителем образовательной организации, медицинской организации, на базе которой организован ППЭ, обеспечивает готовность ППЭ к проведению ГИА для участников экзаменов в соответствии с требованиями к ППЭ, установленными Порядком ГИА, с учетом рекомендаций ПМПК.</w:t>
      </w:r>
    </w:p>
    <w:p>
      <w:pPr>
        <w:pStyle w:val="1111"/>
        <w:numPr>
          <w:ilvl w:val="0"/>
          <w:numId w:val="4"/>
        </w:numPr>
        <w:tabs>
          <w:tab w:val="clear" w:pos="709"/>
          <w:tab w:val="left" w:pos="993" w:leader="none"/>
          <w:tab w:val="left" w:pos="4707" w:leader="none"/>
        </w:tabs>
        <w:ind w:firstLine="709" w:left="0" w:right="0"/>
        <w:jc w:val="both"/>
        <w:rPr>
          <w:rFonts w:ascii="Times New Roman" w:hAnsi="Times New Roman"/>
          <w:sz w:val="28"/>
        </w:rPr>
      </w:pPr>
      <w:r>
        <w:rPr>
          <w:sz w:val="28"/>
        </w:rPr>
        <w:t>Руководитель ППЭ совместно с руководителем образовательной организации, медицинской организации, на базе которой организован ППЭ, также:</w:t>
      </w:r>
    </w:p>
    <w:p>
      <w:pPr>
        <w:pStyle w:val="1111"/>
        <w:tabs>
          <w:tab w:val="clear" w:pos="709"/>
          <w:tab w:val="left" w:pos="993" w:leader="none"/>
          <w:tab w:val="left" w:pos="4707" w:leader="none"/>
        </w:tabs>
        <w:ind w:firstLine="709" w:left="0" w:right="0"/>
        <w:jc w:val="both"/>
        <w:rPr>
          <w:rFonts w:ascii="Times New Roman" w:hAnsi="Times New Roman"/>
          <w:sz w:val="28"/>
        </w:rPr>
      </w:pPr>
      <w:r>
        <w:rPr>
          <w:b/>
          <w:sz w:val="28"/>
        </w:rPr>
        <w:t>а)</w:t>
      </w:r>
      <w:r>
        <w:rPr>
          <w:sz w:val="28"/>
        </w:rPr>
        <w:t xml:space="preserve"> </w:t>
      </w:r>
      <w:r>
        <w:rPr>
          <w:b/>
          <w:sz w:val="28"/>
        </w:rPr>
        <w:t>для слепых, поздноослепших, слабовидящих участников экзаменов, владеющих шрифтом Брайля:</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подготавливает дополнительные листы для записи ответов по системе Брайля;</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подготавливает в необходимом количестве черновики из расчета по десять листов для письма по Брайлю, грифель и прибор для письма по Брайлю, либо печатную брайлевскую машинку на каждого участника экзамена;</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подготавливает в необходимом количестве «Памятку для ассистентов слепых и слабовидящих участников экзаменов по заполнению шрифтом Брайля тетрадей для ответов» (представлена в Приложении 2);</w:t>
      </w:r>
    </w:p>
    <w:p>
      <w:pPr>
        <w:pStyle w:val="1111"/>
        <w:tabs>
          <w:tab w:val="clear" w:pos="709"/>
          <w:tab w:val="left" w:pos="993" w:leader="none"/>
          <w:tab w:val="left" w:pos="4707" w:leader="none"/>
        </w:tabs>
        <w:ind w:firstLine="709" w:left="0" w:right="0"/>
        <w:jc w:val="both"/>
        <w:rPr>
          <w:rFonts w:ascii="Times New Roman" w:hAnsi="Times New Roman"/>
          <w:sz w:val="28"/>
        </w:rPr>
      </w:pPr>
      <w:r>
        <w:rPr>
          <w:b/>
          <w:sz w:val="28"/>
        </w:rPr>
        <w:t>б) для слабовидящих участников экзаменов:</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подготавливает в необходимом количестве пакеты размером формата А3 для масштабированных ЭМ;</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подготавливает в необходимом количестве техническое оборудование для масштабирования ЭМ до формата А3</w:t>
      </w:r>
      <w:r>
        <w:rPr>
          <w:rStyle w:val="FootnoteReference"/>
          <w:sz w:val="28"/>
        </w:rPr>
        <w:footnoteReference w:id="14"/>
      </w:r>
      <w:r>
        <w:rPr>
          <w:sz w:val="28"/>
        </w:rPr>
        <w:t>;</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подготавливает в необходимом количестве увеличительные устройства (лупа или иное увеличительное устройство);</w:t>
      </w:r>
    </w:p>
    <w:p>
      <w:pPr>
        <w:pStyle w:val="1111"/>
        <w:tabs>
          <w:tab w:val="clear" w:pos="709"/>
          <w:tab w:val="left" w:pos="993" w:leader="none"/>
          <w:tab w:val="left" w:pos="4707" w:leader="none"/>
        </w:tabs>
        <w:ind w:firstLine="709" w:left="0" w:right="0"/>
        <w:jc w:val="both"/>
        <w:rPr>
          <w:rFonts w:ascii="Times New Roman" w:hAnsi="Times New Roman"/>
          <w:sz w:val="28"/>
        </w:rPr>
      </w:pPr>
      <w:r>
        <w:rPr>
          <w:b/>
          <w:sz w:val="28"/>
        </w:rPr>
        <w:t>в) для глухих участников экзаменов:</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подготавливает на каждого участника экзамена напечатанные Правила по заполнению бланков и Инструкцию для участника экзамена, зачитываемую организатором в аудитории перед началом экзамена</w:t>
      </w:r>
      <w:r>
        <w:rPr>
          <w:rStyle w:val="FootnoteReference"/>
          <w:sz w:val="28"/>
        </w:rPr>
        <w:footnoteReference w:id="15"/>
      </w:r>
      <w:r>
        <w:rPr>
          <w:sz w:val="28"/>
        </w:rPr>
        <w:t>;</w:t>
      </w:r>
    </w:p>
    <w:p>
      <w:pPr>
        <w:pStyle w:val="1111"/>
        <w:tabs>
          <w:tab w:val="clear" w:pos="709"/>
          <w:tab w:val="left" w:pos="993" w:leader="none"/>
          <w:tab w:val="left" w:pos="4707" w:leader="none"/>
        </w:tabs>
        <w:ind w:firstLine="709" w:left="0" w:right="0"/>
        <w:jc w:val="both"/>
        <w:rPr>
          <w:rFonts w:ascii="Times New Roman" w:hAnsi="Times New Roman"/>
          <w:sz w:val="28"/>
        </w:rPr>
      </w:pPr>
      <w:r>
        <w:rPr>
          <w:b/>
          <w:sz w:val="28"/>
        </w:rPr>
        <w:t>г) слабослышащих, позднооглохших, кохлеарно имплантированных участников экзаменов подготовить</w:t>
      </w:r>
      <w:r>
        <w:rPr>
          <w:sz w:val="28"/>
        </w:rPr>
        <w:t xml:space="preserve"> в необходимом количестве звукоусиливающую аппаратуру коллективного пользования;</w:t>
      </w:r>
    </w:p>
    <w:p>
      <w:pPr>
        <w:pStyle w:val="1111"/>
        <w:tabs>
          <w:tab w:val="clear" w:pos="709"/>
          <w:tab w:val="left" w:pos="993" w:leader="none"/>
          <w:tab w:val="left" w:pos="4707" w:leader="none"/>
        </w:tabs>
        <w:ind w:firstLine="709" w:left="0" w:right="0"/>
        <w:jc w:val="both"/>
        <w:rPr>
          <w:rFonts w:ascii="Times New Roman" w:hAnsi="Times New Roman"/>
          <w:sz w:val="28"/>
        </w:rPr>
      </w:pPr>
      <w:r>
        <w:rPr>
          <w:b/>
          <w:sz w:val="28"/>
        </w:rPr>
        <w:t>д) для участников экзаменов с нарушениями опорно-двигательного аппарата:</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обеспечивает беспрепятственный доступ в аудитории, в том числе учитывая необходимость увеличения расстояния между рабочими столами (партами) для передвижения инвалидных колясок;</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обеспечивает адаптированное рабочее место и вспомогательные технические средства с учетом психофизических особенностей участников экзаменов (при необходимости);</w:t>
      </w:r>
    </w:p>
    <w:p>
      <w:pPr>
        <w:pStyle w:val="1111"/>
        <w:tabs>
          <w:tab w:val="clear" w:pos="709"/>
          <w:tab w:val="left" w:pos="993" w:leader="none"/>
          <w:tab w:val="left" w:pos="4707" w:leader="none"/>
        </w:tabs>
        <w:ind w:firstLine="709" w:left="0" w:right="0"/>
        <w:jc w:val="both"/>
        <w:rPr>
          <w:rFonts w:ascii="Times New Roman" w:hAnsi="Times New Roman"/>
          <w:sz w:val="28"/>
        </w:rPr>
      </w:pPr>
      <w:r>
        <w:rPr>
          <w:b/>
          <w:sz w:val="28"/>
        </w:rPr>
        <w:t>е) для участников экзаменов с расстройствами аутистического спектра:</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подготавливает на каждого участника экзамена напечатанные Правила по заполнению бланков и Инструкцию для участника экзамена, зачитываемую организатором в аудитории перед началом экзамена</w:t>
      </w:r>
      <w:r>
        <w:rPr>
          <w:rStyle w:val="FootnoteReference"/>
          <w:sz w:val="28"/>
        </w:rPr>
        <w:footnoteReference w:id="16"/>
      </w:r>
      <w:r>
        <w:rPr>
          <w:sz w:val="28"/>
        </w:rPr>
        <w:t>;</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обеспечивает проведение экзамена в небольшой по площади аудитории с малым количеством участников (не более 5 участников экзаменов), обеспечить тишину и отсутствие ярких визуальных раздражителей в аудитории;</w:t>
      </w:r>
    </w:p>
    <w:p>
      <w:pPr>
        <w:pStyle w:val="1111"/>
        <w:tabs>
          <w:tab w:val="clear" w:pos="709"/>
          <w:tab w:val="left" w:pos="993" w:leader="none"/>
          <w:tab w:val="left" w:pos="4707" w:leader="none"/>
        </w:tabs>
        <w:ind w:firstLine="709" w:left="0" w:right="0"/>
        <w:jc w:val="both"/>
        <w:rPr>
          <w:rFonts w:ascii="Times New Roman" w:hAnsi="Times New Roman"/>
          <w:sz w:val="28"/>
        </w:rPr>
      </w:pPr>
      <w:r>
        <w:rPr>
          <w:b/>
          <w:sz w:val="28"/>
        </w:rPr>
        <w:t>ж) для участников экзаменов, выполняющих письменную ЭР на компьютере по желанию:</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подготавливает принтеры для распечатки ответов участников экзаменов;</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совместно с техническим специалистом производит контроль готовности рабочего места, оборудованного компьютером, в том числе:</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наличие специальных периферических устройств ввода (ножная мышь, роллер, джойстик, головная мышь и др.) (при необходимости);</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диагональ монитора не менее 19 дюймов;</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наличие средств индивидуального прослушивания (наушники);</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оснащение специализированным программным обеспечением (например, экранной лупой);</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наличие клавиатуры с увеличенным размером клавиш или виртуальной клавиатуры с возможностью подключения специальных настроек: увеличение курсора, замедление скорости перемещения курсора, включение опции увеличения области просмотра и др.</w:t>
      </w:r>
    </w:p>
    <w:p>
      <w:pPr>
        <w:pStyle w:val="1111"/>
        <w:numPr>
          <w:ilvl w:val="0"/>
          <w:numId w:val="4"/>
        </w:numPr>
        <w:tabs>
          <w:tab w:val="clear" w:pos="709"/>
          <w:tab w:val="left" w:pos="993" w:leader="none"/>
          <w:tab w:val="left" w:pos="4707" w:leader="none"/>
        </w:tabs>
        <w:ind w:firstLine="709" w:left="0" w:right="0"/>
        <w:jc w:val="both"/>
        <w:rPr>
          <w:rFonts w:ascii="Times New Roman" w:hAnsi="Times New Roman"/>
          <w:sz w:val="28"/>
        </w:rPr>
      </w:pPr>
      <w:r>
        <w:rPr>
          <w:b/>
          <w:sz w:val="28"/>
        </w:rPr>
        <w:t>Для слепых, поздноослепших, слабовидящих участников экзаменов, выполняющих письменную ЭР на компьютере, устанавливаются следующие рекомендации к техническому и программному обеспечению</w:t>
      </w:r>
      <w:r>
        <w:rPr>
          <w:rStyle w:val="FootnoteReference"/>
          <w:b/>
          <w:sz w:val="28"/>
        </w:rPr>
        <w:footnoteReference w:id="17"/>
      </w:r>
      <w:r>
        <w:rPr>
          <w:b/>
          <w:sz w:val="28"/>
        </w:rPr>
        <w:t>:</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 xml:space="preserve">а) системные требования к персональному компьютеру: </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б) оперативная память не менее 4 ГБ;</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 xml:space="preserve">в) HDD не менее 100 ГБ свободного пространства; </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г) операционная система: Windows 10;</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д) брайлевский дисплей, например, focus 40 blue;</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 xml:space="preserve">е) программы невизуального доступа, например, Jaws for Windows 2021 и NVDA 2021; </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ж) наушники с usb интерфейсом;</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t>з) набор голосовых синтезаторов, например, rhvoice, vocalize, mymause.</w:t>
      </w:r>
    </w:p>
    <w:p>
      <w:pPr>
        <w:pStyle w:val="Normal"/>
        <w:tabs>
          <w:tab w:val="clear" w:pos="709"/>
          <w:tab w:val="left" w:pos="1246" w:leader="none"/>
        </w:tabs>
        <w:ind w:firstLine="709" w:left="0" w:right="105"/>
        <w:jc w:val="both"/>
        <w:rPr>
          <w:rFonts w:ascii="Times New Roman" w:hAnsi="Times New Roman"/>
          <w:sz w:val="28"/>
        </w:rPr>
      </w:pPr>
      <w:r>
        <w:rPr>
          <w:rFonts w:ascii="Times New Roman" w:hAnsi="Times New Roman"/>
          <w:sz w:val="28"/>
        </w:rPr>
        <w:t>5.</w:t>
      </w:r>
      <w:r>
        <w:rPr>
          <w:rFonts w:ascii="Times New Roman" w:hAnsi="Times New Roman"/>
          <w:b/>
          <w:sz w:val="28"/>
        </w:rPr>
        <w:t xml:space="preserve"> Подготавливает место для мобильных телефонов и иных электронных устройств участников экзаменов с диагнозом «сахарный диабет» (1 типа)— специально выделенный стол, либо рабочий стол организаторов в аудитории, находящийся в зоне видимости средств видеонаблюдения (при наличии таких участников).</w:t>
      </w:r>
    </w:p>
    <w:p>
      <w:pPr>
        <w:pStyle w:val="1111"/>
        <w:tabs>
          <w:tab w:val="clear" w:pos="709"/>
          <w:tab w:val="left" w:pos="993" w:leader="none"/>
          <w:tab w:val="left" w:pos="4707" w:leader="none"/>
        </w:tabs>
        <w:ind w:firstLine="709" w:left="0" w:right="0"/>
        <w:jc w:val="both"/>
        <w:rPr>
          <w:rFonts w:ascii="Times New Roman" w:hAnsi="Times New Roman"/>
          <w:sz w:val="28"/>
        </w:rPr>
      </w:pPr>
      <w:r>
        <w:rPr>
          <w:sz w:val="28"/>
        </w:rPr>
      </w:r>
    </w:p>
    <w:p>
      <w:pPr>
        <w:pStyle w:val="Heading2"/>
        <w:numPr>
          <w:ilvl w:val="1"/>
          <w:numId w:val="1"/>
        </w:numPr>
        <w:ind w:hanging="0" w:left="0" w:right="0"/>
        <w:jc w:val="center"/>
        <w:rPr>
          <w:rFonts w:ascii="Times New Roman" w:hAnsi="Times New Roman"/>
          <w:b/>
          <w:color w:val="000000"/>
          <w:sz w:val="28"/>
        </w:rPr>
      </w:pPr>
      <w:bookmarkStart w:id="15" w:name="__RefHeading___6"/>
      <w:bookmarkStart w:id="16" w:name="bookmark22"/>
      <w:bookmarkStart w:id="17" w:name="bookmark24"/>
      <w:bookmarkStart w:id="18" w:name="bookmark23"/>
      <w:bookmarkEnd w:id="15"/>
      <w:r>
        <w:rPr>
          <w:rFonts w:ascii="Times New Roman" w:hAnsi="Times New Roman"/>
          <w:b/>
          <w:color w:val="000000"/>
          <w:sz w:val="28"/>
        </w:rPr>
        <w:t>Начало проведения экзамена в аудитории</w:t>
      </w:r>
      <w:bookmarkEnd w:id="16"/>
      <w:bookmarkEnd w:id="17"/>
      <w:bookmarkEnd w:id="18"/>
    </w:p>
    <w:p>
      <w:pPr>
        <w:pStyle w:val="Normal"/>
        <w:jc w:val="center"/>
        <w:rPr>
          <w:b/>
          <w:color w:val="000000"/>
        </w:rPr>
      </w:pPr>
      <w:r>
        <w:rPr>
          <w:b/>
          <w:color w:val="000000"/>
        </w:rPr>
      </w:r>
    </w:p>
    <w:p>
      <w:pPr>
        <w:pStyle w:val="1111"/>
        <w:numPr>
          <w:ilvl w:val="0"/>
          <w:numId w:val="5"/>
        </w:numPr>
        <w:tabs>
          <w:tab w:val="left" w:pos="709" w:leader="none"/>
          <w:tab w:val="left" w:pos="851" w:leader="none"/>
          <w:tab w:val="left" w:pos="1134" w:leader="none"/>
          <w:tab w:val="left" w:pos="4707" w:leader="none"/>
        </w:tabs>
        <w:ind w:firstLine="709" w:left="0" w:right="0"/>
        <w:jc w:val="both"/>
        <w:rPr>
          <w:rFonts w:ascii="Times New Roman" w:hAnsi="Times New Roman"/>
          <w:sz w:val="28"/>
        </w:rPr>
      </w:pPr>
      <w:r>
        <w:rPr>
          <w:sz w:val="28"/>
        </w:rPr>
        <w:t>При проведении экзаменов для слабовидящих участников экзамена ЭМ масштабируются до формата А3. Масштабирование производится в присутствии члена ГЭК не ранее 10:00 по местному времени.</w:t>
      </w:r>
    </w:p>
    <w:p>
      <w:pPr>
        <w:pStyle w:val="1111"/>
        <w:tabs>
          <w:tab w:val="left" w:pos="709" w:leader="none"/>
          <w:tab w:val="left" w:pos="851" w:leader="none"/>
          <w:tab w:val="left" w:pos="1134" w:leader="none"/>
          <w:tab w:val="left" w:pos="4707" w:leader="none"/>
        </w:tabs>
        <w:ind w:firstLine="709" w:left="0" w:right="0"/>
        <w:jc w:val="both"/>
        <w:rPr>
          <w:rFonts w:ascii="Times New Roman" w:hAnsi="Times New Roman"/>
          <w:sz w:val="28"/>
        </w:rPr>
      </w:pPr>
      <w:r>
        <w:rPr>
          <w:sz w:val="28"/>
        </w:rPr>
        <w:t>ЭМ масштабированные и стандартного размера выдаются участникам экзамена.</w:t>
      </w:r>
    </w:p>
    <w:p>
      <w:pPr>
        <w:pStyle w:val="1111"/>
        <w:tabs>
          <w:tab w:val="left" w:pos="709" w:leader="none"/>
          <w:tab w:val="left" w:pos="851" w:leader="none"/>
          <w:tab w:val="left" w:pos="1134" w:leader="none"/>
          <w:tab w:val="left" w:pos="4707" w:leader="none"/>
        </w:tabs>
        <w:ind w:firstLine="709" w:left="0" w:right="0"/>
        <w:jc w:val="both"/>
        <w:rPr>
          <w:rFonts w:ascii="Times New Roman" w:hAnsi="Times New Roman"/>
          <w:sz w:val="28"/>
        </w:rPr>
      </w:pPr>
      <w:r>
        <w:rPr>
          <w:sz w:val="28"/>
        </w:rPr>
        <w:t>Слабовидящие участники экзамена могут работать с ЭМ стандартного размера или с масштабированными до формата А3 (по своему выбору).</w:t>
      </w:r>
    </w:p>
    <w:p>
      <w:pPr>
        <w:pStyle w:val="1111"/>
        <w:numPr>
          <w:ilvl w:val="0"/>
          <w:numId w:val="5"/>
        </w:numPr>
        <w:tabs>
          <w:tab w:val="left" w:pos="709" w:leader="none"/>
          <w:tab w:val="left" w:pos="851" w:leader="none"/>
          <w:tab w:val="left" w:pos="1134" w:leader="none"/>
          <w:tab w:val="left" w:pos="4707" w:leader="none"/>
        </w:tabs>
        <w:ind w:firstLine="709" w:left="0" w:right="0"/>
        <w:jc w:val="both"/>
        <w:rPr>
          <w:rFonts w:ascii="Times New Roman" w:hAnsi="Times New Roman"/>
          <w:sz w:val="28"/>
        </w:rPr>
      </w:pPr>
      <w:r>
        <w:rPr>
          <w:sz w:val="28"/>
        </w:rPr>
        <w:t xml:space="preserve">В случае нахождения в аудитории вместе со слабовидящими участниками экзамена участников экзамена другой нозологической группы экзамен </w:t>
      </w:r>
      <w:r>
        <w:rPr>
          <w:b/>
          <w:sz w:val="28"/>
        </w:rPr>
        <w:t>начинается</w:t>
      </w:r>
      <w:r>
        <w:rPr>
          <w:sz w:val="28"/>
        </w:rPr>
        <w:t xml:space="preserve"> для всех присутствующих в аудитории участников экзамена </w:t>
      </w:r>
      <w:r>
        <w:rPr>
          <w:b/>
          <w:sz w:val="28"/>
        </w:rPr>
        <w:t>единовременно</w:t>
      </w:r>
      <w:r>
        <w:rPr>
          <w:sz w:val="28"/>
        </w:rPr>
        <w:t xml:space="preserve"> (т.е. после увеличения ЭМ для слабовидящих участников экзамена).</w:t>
      </w:r>
    </w:p>
    <w:p>
      <w:pPr>
        <w:pStyle w:val="1111"/>
        <w:numPr>
          <w:ilvl w:val="0"/>
          <w:numId w:val="5"/>
        </w:numPr>
        <w:tabs>
          <w:tab w:val="left" w:pos="709" w:leader="none"/>
          <w:tab w:val="left" w:pos="851" w:leader="none"/>
          <w:tab w:val="left" w:pos="1134" w:leader="none"/>
          <w:tab w:val="left" w:pos="4707" w:leader="none"/>
        </w:tabs>
        <w:ind w:firstLine="709" w:left="0" w:right="0"/>
        <w:jc w:val="both"/>
        <w:rPr>
          <w:rFonts w:ascii="Times New Roman" w:hAnsi="Times New Roman"/>
          <w:sz w:val="28"/>
        </w:rPr>
      </w:pPr>
      <w:r>
        <w:rPr>
          <w:sz w:val="28"/>
        </w:rPr>
        <w:t>Глухим, позднооглохшим, слабослышащим, кохлеарно имплантированным участникам экзамена, участникам экзамена с расстройствами аутистического спектра выдаются Инструкции для участников экзаменов, зачитываемые организаторами в аудитории перед началом экзамена, и Правила по заполнению бланков.</w:t>
      </w:r>
    </w:p>
    <w:p>
      <w:pPr>
        <w:pStyle w:val="1111"/>
        <w:tabs>
          <w:tab w:val="clear" w:pos="709"/>
          <w:tab w:val="left" w:pos="1134" w:leader="none"/>
          <w:tab w:val="left" w:pos="4707" w:leader="none"/>
        </w:tabs>
        <w:ind w:firstLine="709" w:left="0" w:right="0"/>
        <w:jc w:val="both"/>
        <w:rPr>
          <w:rFonts w:ascii="Times New Roman" w:hAnsi="Times New Roman"/>
          <w:sz w:val="28"/>
        </w:rPr>
      </w:pPr>
      <w:r>
        <w:rPr>
          <w:sz w:val="28"/>
        </w:rPr>
      </w:r>
    </w:p>
    <w:p>
      <w:pPr>
        <w:pStyle w:val="Heading2"/>
        <w:numPr>
          <w:ilvl w:val="1"/>
          <w:numId w:val="1"/>
        </w:numPr>
        <w:ind w:hanging="0" w:left="0" w:right="0"/>
        <w:jc w:val="center"/>
        <w:rPr>
          <w:rFonts w:ascii="Times New Roman" w:hAnsi="Times New Roman"/>
          <w:b/>
          <w:color w:val="000000"/>
          <w:sz w:val="28"/>
        </w:rPr>
      </w:pPr>
      <w:bookmarkStart w:id="19" w:name="__RefHeading___7"/>
      <w:bookmarkStart w:id="20" w:name="bookmark25"/>
      <w:bookmarkStart w:id="21" w:name="bookmark27"/>
      <w:bookmarkStart w:id="22" w:name="bookmark26"/>
      <w:bookmarkEnd w:id="19"/>
      <w:r>
        <w:rPr>
          <w:rFonts w:ascii="Times New Roman" w:hAnsi="Times New Roman"/>
          <w:b/>
          <w:color w:val="000000"/>
          <w:sz w:val="28"/>
        </w:rPr>
        <w:t>Проведение экзамена в аудитории</w:t>
      </w:r>
      <w:bookmarkEnd w:id="20"/>
      <w:bookmarkEnd w:id="21"/>
      <w:bookmarkEnd w:id="22"/>
    </w:p>
    <w:p>
      <w:pPr>
        <w:pStyle w:val="Normal"/>
        <w:rPr>
          <w:rFonts w:ascii="Times New Roman" w:hAnsi="Times New Roman"/>
          <w:sz w:val="28"/>
        </w:rPr>
      </w:pPr>
      <w:r>
        <w:rPr>
          <w:rFonts w:ascii="Times New Roman" w:hAnsi="Times New Roman"/>
          <w:sz w:val="28"/>
        </w:rPr>
      </w:r>
    </w:p>
    <w:p>
      <w:pPr>
        <w:pStyle w:val="1111"/>
        <w:numPr>
          <w:ilvl w:val="0"/>
          <w:numId w:val="6"/>
        </w:numPr>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Слепые, поздноослепшие, слабовидящие участники экзамена, владеющие шрифтом Брайля, с использованием письменного прибора Брайля и грифеля или пишущей брайлевской машинки на второй странице специальной тетради для записи ответов шрифтом Брайля пишут фамилию (с новой строки), имя (с новой строки), отчество (с новой строки), серию и номер своего документа, удостоверяющего личность, с новой строки.</w:t>
      </w:r>
    </w:p>
    <w:p>
      <w:pPr>
        <w:pStyle w:val="1111"/>
        <w:numPr>
          <w:ilvl w:val="0"/>
          <w:numId w:val="6"/>
        </w:numPr>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В случае заполнения участником экзамена всей специальной тетради для записи ответов организатор в аудитории выдает участнику экзамена дополнительный лист для записи ответов по Брайлю. При этом участник экзамена пишет ФИО на верхней строке листа шрифтом Брайля, ассистент пишет ФИО участника экзамена на дополнительном листе обычным способом.</w:t>
      </w:r>
    </w:p>
    <w:p>
      <w:pPr>
        <w:pStyle w:val="1111"/>
        <w:numPr>
          <w:ilvl w:val="0"/>
          <w:numId w:val="6"/>
        </w:numPr>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Для слепых, поздноослепших, слабовидящих участников экзаменов каждый час объявляется время до конца экзамена.</w:t>
      </w:r>
    </w:p>
    <w:p>
      <w:pPr>
        <w:pStyle w:val="1111"/>
        <w:numPr>
          <w:ilvl w:val="0"/>
          <w:numId w:val="6"/>
        </w:numPr>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Участники экзамена, досрочно завершившие выполнение ЭР, сдают ЭМ и черновики организаторам в аудитории, не дожидаясь завершения окончания экзамена. Организаторы принимают от них все материалы, заполняют соответствующие формы ППЭ и получают подписи</w:t>
      </w:r>
      <w:r>
        <w:rPr>
          <w:rStyle w:val="FootnoteReference"/>
          <w:sz w:val="28"/>
        </w:rPr>
        <w:footnoteReference w:id="18"/>
      </w:r>
      <w:r>
        <w:rPr>
          <w:sz w:val="28"/>
        </w:rPr>
        <w:t xml:space="preserve"> участников в формах, после чего участники покидают аудиторию и в сопровождении организатора вне аудитории покидают ППЭ.</w:t>
      </w:r>
    </w:p>
    <w:p>
      <w:pPr>
        <w:pStyle w:val="Heading2"/>
        <w:rPr>
          <w:rFonts w:ascii="Times New Roman" w:hAnsi="Times New Roman"/>
          <w:sz w:val="28"/>
        </w:rPr>
      </w:pPr>
      <w:r>
        <w:rPr>
          <w:rFonts w:ascii="Times New Roman" w:hAnsi="Times New Roman"/>
          <w:sz w:val="28"/>
        </w:rPr>
      </w:r>
    </w:p>
    <w:p>
      <w:pPr>
        <w:pStyle w:val="Heading2"/>
        <w:numPr>
          <w:ilvl w:val="1"/>
          <w:numId w:val="1"/>
        </w:numPr>
        <w:ind w:hanging="0" w:left="0" w:right="0"/>
        <w:jc w:val="center"/>
        <w:rPr>
          <w:rFonts w:ascii="Times New Roman" w:hAnsi="Times New Roman"/>
          <w:b/>
          <w:color w:val="000000"/>
          <w:sz w:val="28"/>
        </w:rPr>
      </w:pPr>
      <w:bookmarkStart w:id="23" w:name="__RefHeading___8"/>
      <w:bookmarkStart w:id="24" w:name="bookmark28"/>
      <w:bookmarkEnd w:id="23"/>
      <w:r>
        <w:rPr>
          <w:rFonts w:ascii="Times New Roman" w:hAnsi="Times New Roman"/>
          <w:b/>
          <w:color w:val="000000"/>
          <w:sz w:val="28"/>
        </w:rPr>
        <w:t>Завершение выполнения ЭР участниками экзамена</w:t>
      </w:r>
      <w:bookmarkEnd w:id="24"/>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r>
    </w:p>
    <w:p>
      <w:pPr>
        <w:pStyle w:val="1111"/>
        <w:numPr>
          <w:ilvl w:val="0"/>
          <w:numId w:val="7"/>
        </w:numPr>
        <w:tabs>
          <w:tab w:val="clear" w:pos="709"/>
          <w:tab w:val="left" w:pos="851" w:leader="none"/>
          <w:tab w:val="left" w:pos="1134" w:leader="none"/>
          <w:tab w:val="left" w:pos="4707" w:leader="none"/>
        </w:tabs>
        <w:ind w:firstLine="709" w:left="0" w:right="0"/>
        <w:jc w:val="both"/>
        <w:rPr>
          <w:rFonts w:ascii="Times New Roman" w:hAnsi="Times New Roman"/>
          <w:sz w:val="28"/>
        </w:rPr>
      </w:pPr>
      <w:r>
        <w:rPr>
          <w:b/>
          <w:sz w:val="28"/>
        </w:rPr>
        <w:t>Для слабовидящих участников экзаменов:</w:t>
      </w:r>
    </w:p>
    <w:p>
      <w:pPr>
        <w:pStyle w:val="1111"/>
        <w:tabs>
          <w:tab w:val="clear" w:pos="709"/>
          <w:tab w:val="left" w:pos="1134" w:leader="none"/>
          <w:tab w:val="left" w:pos="4707" w:leader="none"/>
        </w:tabs>
        <w:ind w:firstLine="709" w:left="0" w:right="0"/>
        <w:jc w:val="both"/>
        <w:rPr>
          <w:rFonts w:ascii="Times New Roman" w:hAnsi="Times New Roman"/>
          <w:sz w:val="28"/>
        </w:rPr>
      </w:pPr>
      <w:r>
        <w:rPr>
          <w:sz w:val="28"/>
        </w:rPr>
        <w:t>а) организаторы в аудитории собирают использованные КИМ (стандартного размера и масштабированные до формата А3). Бланки регистрации, бланки ответов, ДБО (при их использовании) и черновики остаются на рабочих местах участников экзаменов, использованные КИМ стандартного размера запечатываются в стандартный пакет;</w:t>
      </w:r>
    </w:p>
    <w:p>
      <w:pPr>
        <w:pStyle w:val="1111"/>
        <w:tabs>
          <w:tab w:val="clear" w:pos="709"/>
          <w:tab w:val="left" w:pos="1134" w:leader="none"/>
          <w:tab w:val="left" w:pos="4707" w:leader="none"/>
        </w:tabs>
        <w:ind w:firstLine="709" w:left="0" w:right="0"/>
        <w:jc w:val="both"/>
        <w:rPr>
          <w:rFonts w:ascii="Times New Roman" w:hAnsi="Times New Roman"/>
          <w:sz w:val="28"/>
        </w:rPr>
      </w:pPr>
      <w:r>
        <w:rPr>
          <w:sz w:val="28"/>
        </w:rPr>
        <w:t>б) в присутствии члена(-ов) ГЭК и общественных наблюдателей (при наличии) ассистенты переносят ответы с масштабированных до формата А3 бланков ответов, ДБО (при использовании), черновиков на бланки ответов, ДБО стандартного размера в ПОЛНОМ соответствии с ответами участников экзамена</w:t>
      </w:r>
      <w:r>
        <w:rPr>
          <w:rStyle w:val="FootnoteReference"/>
          <w:sz w:val="28"/>
        </w:rPr>
        <w:footnoteReference w:id="19"/>
      </w:r>
      <w:r>
        <w:rPr>
          <w:sz w:val="28"/>
        </w:rPr>
        <w:t>.</w:t>
      </w:r>
    </w:p>
    <w:p>
      <w:pPr>
        <w:pStyle w:val="1111"/>
        <w:tabs>
          <w:tab w:val="clear" w:pos="709"/>
          <w:tab w:val="left" w:pos="1134" w:leader="none"/>
          <w:tab w:val="left" w:pos="4707" w:leader="none"/>
        </w:tabs>
        <w:ind w:firstLine="709" w:left="0" w:right="0"/>
        <w:jc w:val="both"/>
        <w:rPr>
          <w:rFonts w:ascii="Times New Roman" w:hAnsi="Times New Roman"/>
          <w:sz w:val="28"/>
        </w:rPr>
      </w:pPr>
      <w:r>
        <w:rPr>
          <w:sz w:val="28"/>
        </w:rPr>
        <w:t>При переносе ответов в поле «Подпись участника» ассистент пишет «Копия верна» и ставит свою подпись;</w:t>
      </w:r>
    </w:p>
    <w:p>
      <w:pPr>
        <w:pStyle w:val="1111"/>
        <w:tabs>
          <w:tab w:val="clear" w:pos="709"/>
          <w:tab w:val="left" w:pos="1134" w:leader="none"/>
          <w:tab w:val="left" w:pos="4707" w:leader="none"/>
        </w:tabs>
        <w:ind w:firstLine="709" w:left="0" w:right="0"/>
        <w:jc w:val="both"/>
        <w:rPr>
          <w:rFonts w:ascii="Times New Roman" w:hAnsi="Times New Roman"/>
          <w:sz w:val="28"/>
        </w:rPr>
      </w:pPr>
      <w:r>
        <w:rPr>
          <w:sz w:val="28"/>
        </w:rPr>
        <w:t>в) по окончании переноса ответов организатор в аудитории запечатывает бланки регистрации, бланки ответов, ДБО стандартного размера (при их использовании) в стандартные пакеты, масштабированные до формата А3 в отдельный, стандартного размера, использованные участником экзамена черновики.</w:t>
      </w:r>
    </w:p>
    <w:p>
      <w:pPr>
        <w:pStyle w:val="1111"/>
        <w:tabs>
          <w:tab w:val="clear" w:pos="709"/>
          <w:tab w:val="left" w:pos="1134" w:leader="none"/>
          <w:tab w:val="left" w:pos="4707" w:leader="none"/>
        </w:tabs>
        <w:ind w:firstLine="709" w:left="0" w:right="0"/>
        <w:jc w:val="both"/>
        <w:rPr>
          <w:rFonts w:ascii="Times New Roman" w:hAnsi="Times New Roman"/>
          <w:sz w:val="28"/>
        </w:rPr>
      </w:pPr>
      <w:r>
        <w:rPr>
          <w:sz w:val="28"/>
        </w:rPr>
        <w:t xml:space="preserve">В аудитории собранные материалы формируются следующим образом: </w:t>
      </w:r>
    </w:p>
    <w:p>
      <w:pPr>
        <w:pStyle w:val="1111"/>
        <w:tabs>
          <w:tab w:val="clear" w:pos="709"/>
          <w:tab w:val="left" w:pos="1134" w:leader="none"/>
          <w:tab w:val="left" w:pos="4707" w:leader="none"/>
        </w:tabs>
        <w:ind w:firstLine="709" w:left="0" w:right="0"/>
        <w:jc w:val="both"/>
        <w:rPr>
          <w:rFonts w:ascii="Times New Roman" w:hAnsi="Times New Roman"/>
          <w:sz w:val="28"/>
        </w:rPr>
      </w:pPr>
      <w:r>
        <w:rPr>
          <w:sz w:val="28"/>
        </w:rPr>
        <w:t>запечатанные пакеты с бракованными (с нарушением комплектации и др.) ЭМ;</w:t>
      </w:r>
    </w:p>
    <w:p>
      <w:pPr>
        <w:pStyle w:val="1111"/>
        <w:tabs>
          <w:tab w:val="clear" w:pos="709"/>
          <w:tab w:val="left" w:pos="1134" w:leader="none"/>
          <w:tab w:val="left" w:pos="4707" w:leader="none"/>
        </w:tabs>
        <w:ind w:firstLine="709" w:left="0" w:right="0"/>
        <w:jc w:val="both"/>
        <w:rPr>
          <w:rFonts w:ascii="Times New Roman" w:hAnsi="Times New Roman"/>
          <w:sz w:val="28"/>
        </w:rPr>
      </w:pPr>
      <w:r>
        <w:rPr>
          <w:sz w:val="28"/>
        </w:rPr>
        <w:t xml:space="preserve">запечатанные пакеты с использованными КИМ; </w:t>
      </w:r>
    </w:p>
    <w:p>
      <w:pPr>
        <w:pStyle w:val="1111"/>
        <w:tabs>
          <w:tab w:val="clear" w:pos="709"/>
          <w:tab w:val="left" w:pos="1134" w:leader="none"/>
          <w:tab w:val="left" w:pos="4707" w:leader="none"/>
        </w:tabs>
        <w:ind w:firstLine="709" w:left="0" w:right="0"/>
        <w:jc w:val="both"/>
        <w:rPr>
          <w:rFonts w:ascii="Times New Roman" w:hAnsi="Times New Roman"/>
          <w:sz w:val="28"/>
        </w:rPr>
      </w:pPr>
      <w:r>
        <w:rPr>
          <w:sz w:val="28"/>
        </w:rPr>
        <w:t>использованные черновики;</w:t>
      </w:r>
    </w:p>
    <w:p>
      <w:pPr>
        <w:pStyle w:val="1111"/>
        <w:tabs>
          <w:tab w:val="clear" w:pos="709"/>
          <w:tab w:val="left" w:pos="1134" w:leader="none"/>
          <w:tab w:val="left" w:pos="4707" w:leader="none"/>
        </w:tabs>
        <w:ind w:firstLine="709" w:left="0" w:right="0"/>
        <w:jc w:val="both"/>
        <w:rPr>
          <w:rFonts w:ascii="Times New Roman" w:hAnsi="Times New Roman"/>
          <w:sz w:val="28"/>
        </w:rPr>
      </w:pPr>
      <w:r>
        <w:rPr>
          <w:sz w:val="28"/>
        </w:rPr>
        <w:t>запечатанные пакеты с бланками регистрации, бланками ответов, ДБО.</w:t>
      </w:r>
    </w:p>
    <w:p>
      <w:pPr>
        <w:pStyle w:val="1111"/>
        <w:tabs>
          <w:tab w:val="clear" w:pos="709"/>
          <w:tab w:val="left" w:pos="1134" w:leader="none"/>
          <w:tab w:val="left" w:pos="4707" w:leader="none"/>
        </w:tabs>
        <w:ind w:firstLine="709" w:left="0" w:right="0"/>
        <w:jc w:val="both"/>
        <w:rPr>
          <w:rFonts w:ascii="Times New Roman" w:hAnsi="Times New Roman"/>
          <w:sz w:val="28"/>
        </w:rPr>
      </w:pPr>
      <w:r>
        <w:rPr>
          <w:sz w:val="28"/>
        </w:rPr>
        <w:t>Организатор в аудитории заполняет информацию на пакетах: наименование, адрес и номер ППЭ, номер аудитории, наименование и код учебного предмета, по которому проводился экзамен, количество материалов в пакете, ФИО ответственного организатора в аудитории.</w:t>
      </w:r>
    </w:p>
    <w:p>
      <w:pPr>
        <w:pStyle w:val="1111"/>
        <w:numPr>
          <w:ilvl w:val="0"/>
          <w:numId w:val="7"/>
        </w:numPr>
        <w:tabs>
          <w:tab w:val="left" w:pos="709" w:leader="none"/>
          <w:tab w:val="left" w:pos="851" w:leader="none"/>
          <w:tab w:val="left" w:pos="1134" w:leader="none"/>
          <w:tab w:val="left" w:pos="4707" w:leader="none"/>
        </w:tabs>
        <w:ind w:firstLine="709" w:left="0" w:right="0"/>
        <w:jc w:val="both"/>
        <w:rPr>
          <w:rFonts w:ascii="Times New Roman" w:hAnsi="Times New Roman"/>
          <w:sz w:val="28"/>
        </w:rPr>
      </w:pPr>
      <w:r>
        <w:rPr>
          <w:b/>
          <w:sz w:val="28"/>
        </w:rPr>
        <w:t>Для слепых, поздноослепших, слабовидящих участников экзамена, владеющих шрифтом Брайля:</w:t>
      </w:r>
    </w:p>
    <w:p>
      <w:pPr>
        <w:pStyle w:val="1111"/>
        <w:tabs>
          <w:tab w:val="clear" w:pos="709"/>
          <w:tab w:val="left" w:pos="1134" w:leader="none"/>
          <w:tab w:val="left" w:pos="4707" w:leader="none"/>
        </w:tabs>
        <w:ind w:firstLine="709" w:left="0" w:right="0"/>
        <w:jc w:val="both"/>
        <w:rPr>
          <w:rFonts w:ascii="Times New Roman" w:hAnsi="Times New Roman"/>
          <w:sz w:val="28"/>
        </w:rPr>
      </w:pPr>
      <w:r>
        <w:rPr>
          <w:sz w:val="28"/>
        </w:rPr>
        <w:t>а) участники экзамена с помощью ассистентов должны сложить бланки регистрации, специальные тетради для записи ответов, дополнительный(-ые) лист (листы) для записи ответов по системе Брайля (при наличии), бланки ответов в конверт ИК, а КИМ и черновики положить на край рабочего стола;</w:t>
      </w:r>
    </w:p>
    <w:p>
      <w:pPr>
        <w:pStyle w:val="1111"/>
        <w:tabs>
          <w:tab w:val="clear" w:pos="709"/>
          <w:tab w:val="left" w:pos="1134" w:leader="none"/>
          <w:tab w:val="left" w:pos="4707" w:leader="none"/>
        </w:tabs>
        <w:ind w:firstLine="709" w:left="0" w:right="0"/>
        <w:jc w:val="both"/>
        <w:rPr>
          <w:rFonts w:ascii="Times New Roman" w:hAnsi="Times New Roman"/>
          <w:sz w:val="28"/>
        </w:rPr>
      </w:pPr>
      <w:r>
        <w:rPr>
          <w:sz w:val="28"/>
        </w:rPr>
        <w:t>б) организаторы в аудитории самостоятельно собирают со столов участников экзамена:</w:t>
      </w:r>
    </w:p>
    <w:p>
      <w:pPr>
        <w:pStyle w:val="1111"/>
        <w:tabs>
          <w:tab w:val="clear" w:pos="709"/>
          <w:tab w:val="left" w:pos="1134" w:leader="none"/>
          <w:tab w:val="left" w:pos="4707" w:leader="none"/>
        </w:tabs>
        <w:ind w:firstLine="709" w:left="0" w:right="0"/>
        <w:jc w:val="both"/>
        <w:rPr>
          <w:rFonts w:ascii="Times New Roman" w:hAnsi="Times New Roman"/>
          <w:sz w:val="28"/>
        </w:rPr>
      </w:pPr>
      <w:r>
        <w:rPr>
          <w:sz w:val="28"/>
        </w:rPr>
        <w:t>конверт ИК, содержащий бланки регистрации, специальные тетради для записи ответов, дополнительный(-ые) лист (листы) для записи ответов по системе Брайля (при наличии), бланки ответов;</w:t>
      </w:r>
    </w:p>
    <w:p>
      <w:pPr>
        <w:pStyle w:val="1111"/>
        <w:tabs>
          <w:tab w:val="clear" w:pos="709"/>
          <w:tab w:val="left" w:pos="1134" w:leader="none"/>
          <w:tab w:val="left" w:pos="4707" w:leader="none"/>
        </w:tabs>
        <w:ind w:firstLine="709" w:left="0" w:right="0"/>
        <w:jc w:val="both"/>
        <w:rPr>
          <w:rFonts w:ascii="Times New Roman" w:hAnsi="Times New Roman"/>
          <w:sz w:val="28"/>
        </w:rPr>
      </w:pPr>
      <w:r>
        <w:rPr>
          <w:sz w:val="28"/>
        </w:rPr>
        <w:t>КИМ;</w:t>
      </w:r>
    </w:p>
    <w:p>
      <w:pPr>
        <w:pStyle w:val="1111"/>
        <w:tabs>
          <w:tab w:val="clear" w:pos="709"/>
          <w:tab w:val="left" w:pos="1134" w:leader="none"/>
          <w:tab w:val="left" w:pos="4707" w:leader="none"/>
        </w:tabs>
        <w:ind w:firstLine="709" w:left="0" w:right="0"/>
        <w:jc w:val="both"/>
        <w:rPr>
          <w:rFonts w:ascii="Times New Roman" w:hAnsi="Times New Roman"/>
          <w:sz w:val="28"/>
        </w:rPr>
      </w:pPr>
      <w:r>
        <w:rPr>
          <w:sz w:val="28"/>
        </w:rPr>
        <w:t>черновики.</w:t>
      </w:r>
    </w:p>
    <w:p>
      <w:pPr>
        <w:pStyle w:val="1111"/>
        <w:tabs>
          <w:tab w:val="clear" w:pos="709"/>
          <w:tab w:val="left" w:pos="1134" w:leader="none"/>
          <w:tab w:val="left" w:pos="4707" w:leader="none"/>
        </w:tabs>
        <w:ind w:firstLine="709" w:left="0" w:right="0"/>
        <w:jc w:val="both"/>
        <w:rPr>
          <w:rFonts w:ascii="Times New Roman" w:hAnsi="Times New Roman"/>
          <w:sz w:val="28"/>
        </w:rPr>
      </w:pPr>
      <w:r>
        <w:rPr>
          <w:sz w:val="28"/>
        </w:rPr>
        <w:t>Организаторы в аудитории фиксируют на конверте ИК количество бланков регистрации, специальных тетрадей для записи ответов, дополнительного(-ых) листа (листов) для записи ответов по системе Брайля (при наличии), бланков ответов, ДБО.</w:t>
      </w:r>
    </w:p>
    <w:p>
      <w:pPr>
        <w:pStyle w:val="1111"/>
        <w:tabs>
          <w:tab w:val="clear" w:pos="709"/>
          <w:tab w:val="left" w:pos="4707" w:leader="none"/>
        </w:tabs>
        <w:ind w:firstLine="709" w:left="0" w:right="0"/>
        <w:jc w:val="both"/>
        <w:rPr>
          <w:rFonts w:ascii="Times New Roman" w:hAnsi="Times New Roman"/>
          <w:sz w:val="28"/>
        </w:rPr>
      </w:pPr>
      <w:r>
        <w:rPr>
          <w:sz w:val="28"/>
        </w:rPr>
        <w:t>В случае принятия Министерством решения об организации работы Комиссии тифлопереводчиков в РЦОИ организаторы в аудитории формируют материалы следующим образом: в отдельный пакет упаковываются конверты ИК; в отдельный пакет упаковываются бракованные (с нарушением комплектации и др.) ЭМ; в отдельный пакет упаковываются комплекты использованных КИМ. Все пакеты запечатываются. Использованные и неиспользованные черновики необходимо пересчитать.</w:t>
      </w:r>
    </w:p>
    <w:p>
      <w:pPr>
        <w:pStyle w:val="1111"/>
        <w:tabs>
          <w:tab w:val="clear" w:pos="709"/>
          <w:tab w:val="left" w:pos="4707" w:leader="none"/>
        </w:tabs>
        <w:ind w:firstLine="709" w:left="0" w:right="0"/>
        <w:jc w:val="both"/>
        <w:rPr>
          <w:rFonts w:ascii="Times New Roman" w:hAnsi="Times New Roman"/>
          <w:sz w:val="28"/>
        </w:rPr>
      </w:pPr>
      <w:r>
        <w:rPr>
          <w:sz w:val="28"/>
        </w:rPr>
        <w:t>В случае принятия Министерством решения об организации работы Комиссии тифлопереводчиков в аудитории проведения экзамена в ППЭ после окончания экзамена после того, как последний участник экзамена покинул аудиторию, организатор в аудитории информирует руководителя ППЭ (через организатора вне аудитории) о завершении экзамена в аудитории.</w:t>
      </w:r>
    </w:p>
    <w:p>
      <w:pPr>
        <w:pStyle w:val="1111"/>
        <w:tabs>
          <w:tab w:val="clear" w:pos="709"/>
          <w:tab w:val="left" w:pos="4707" w:leader="none"/>
        </w:tabs>
        <w:ind w:firstLine="709" w:left="0" w:right="0"/>
        <w:jc w:val="both"/>
        <w:rPr>
          <w:rFonts w:ascii="Times New Roman" w:hAnsi="Times New Roman"/>
          <w:sz w:val="28"/>
        </w:rPr>
      </w:pPr>
      <w:r>
        <w:rPr>
          <w:sz w:val="28"/>
        </w:rPr>
        <w:t>Организаторы в аудитории складывают в отдельный пакет бракованные (с нарушением комплектации и др.) ЭМ, в отдельный пакет – использованные КИМ. Все пакеты запечатываются.</w:t>
      </w:r>
    </w:p>
    <w:p>
      <w:pPr>
        <w:pStyle w:val="1111"/>
        <w:tabs>
          <w:tab w:val="clear" w:pos="709"/>
          <w:tab w:val="left" w:pos="4707" w:leader="none"/>
        </w:tabs>
        <w:ind w:firstLine="709" w:left="0" w:right="0"/>
        <w:jc w:val="both"/>
        <w:rPr>
          <w:rFonts w:ascii="Times New Roman" w:hAnsi="Times New Roman"/>
          <w:sz w:val="28"/>
        </w:rPr>
      </w:pPr>
      <w:r>
        <w:rPr>
          <w:sz w:val="28"/>
        </w:rPr>
        <w:t>Член ГЭК приглашает Комиссию тифлопереводчиков.</w:t>
      </w:r>
    </w:p>
    <w:p>
      <w:pPr>
        <w:pStyle w:val="1111"/>
        <w:tabs>
          <w:tab w:val="clear" w:pos="709"/>
          <w:tab w:val="left" w:pos="4707" w:leader="none"/>
        </w:tabs>
        <w:ind w:firstLine="709" w:left="0" w:right="0"/>
        <w:jc w:val="both"/>
        <w:rPr>
          <w:rFonts w:ascii="Times New Roman" w:hAnsi="Times New Roman"/>
          <w:sz w:val="28"/>
        </w:rPr>
      </w:pPr>
      <w:r>
        <w:rPr>
          <w:sz w:val="28"/>
        </w:rPr>
        <w:t>Комиссия тифлопереводчиков работает в присутствии члена(-ов) ГЭК, организаторов в аудитории, общественных наблюдателей (при наличии)</w:t>
      </w:r>
      <w:r>
        <w:rPr>
          <w:rStyle w:val="FootnoteReference"/>
          <w:sz w:val="28"/>
        </w:rPr>
        <w:footnoteReference w:id="20"/>
      </w:r>
      <w:r>
        <w:rPr>
          <w:sz w:val="28"/>
        </w:rPr>
        <w:t>. Во время работы Комиссии тифлопереводчиков осуществляется видеозапись.</w:t>
      </w:r>
    </w:p>
    <w:p>
      <w:pPr>
        <w:pStyle w:val="1111"/>
        <w:tabs>
          <w:tab w:val="clear" w:pos="709"/>
          <w:tab w:val="left" w:pos="4707" w:leader="none"/>
        </w:tabs>
        <w:ind w:firstLine="709" w:left="0" w:right="0"/>
        <w:jc w:val="both"/>
        <w:rPr>
          <w:rFonts w:ascii="Times New Roman" w:hAnsi="Times New Roman"/>
          <w:sz w:val="28"/>
        </w:rPr>
      </w:pPr>
      <w:r>
        <w:rPr>
          <w:sz w:val="28"/>
        </w:rPr>
        <w:t>Комиссия тифлопереводчиков организует работу в соответствии с Положением о Комиссии тифлопереводчиков (Приложение 1).</w:t>
      </w:r>
    </w:p>
    <w:p>
      <w:pPr>
        <w:pStyle w:val="1111"/>
        <w:tabs>
          <w:tab w:val="clear" w:pos="709"/>
          <w:tab w:val="left" w:pos="4707" w:leader="none"/>
        </w:tabs>
        <w:ind w:firstLine="709" w:left="0" w:right="0"/>
        <w:jc w:val="both"/>
        <w:rPr>
          <w:rFonts w:ascii="Times New Roman" w:hAnsi="Times New Roman"/>
          <w:sz w:val="28"/>
        </w:rPr>
      </w:pPr>
      <w:r>
        <w:rPr>
          <w:sz w:val="28"/>
        </w:rPr>
        <w:t>После выполнения работы тифлопереводчиками организаторы в аудитории складывают в отдельный пакет бланки регистрации, бланки ответов, ДБО, в отдельный – специальные тетради для записи ответов, дополнительный(-ые) лист (листы) для записи ответов по системе Брайля (при наличии). Все пакеты запечатываются.</w:t>
      </w:r>
    </w:p>
    <w:p>
      <w:pPr>
        <w:pStyle w:val="1111"/>
        <w:tabs>
          <w:tab w:val="clear" w:pos="709"/>
          <w:tab w:val="left" w:pos="4707" w:leader="none"/>
        </w:tabs>
        <w:ind w:firstLine="709" w:left="0" w:right="0"/>
        <w:jc w:val="both"/>
        <w:rPr>
          <w:rFonts w:ascii="Times New Roman" w:hAnsi="Times New Roman"/>
          <w:sz w:val="28"/>
        </w:rPr>
      </w:pPr>
      <w:r>
        <w:rPr>
          <w:sz w:val="28"/>
        </w:rPr>
        <w:t>Использованные и неиспользованные черновики необходимо пересчитать.</w:t>
      </w:r>
    </w:p>
    <w:p>
      <w:pPr>
        <w:pStyle w:val="1111"/>
        <w:tabs>
          <w:tab w:val="clear" w:pos="709"/>
          <w:tab w:val="left" w:pos="4707" w:leader="none"/>
        </w:tabs>
        <w:ind w:firstLine="709" w:left="0" w:right="0"/>
        <w:jc w:val="both"/>
        <w:rPr>
          <w:rFonts w:ascii="Times New Roman" w:hAnsi="Times New Roman"/>
          <w:sz w:val="28"/>
        </w:rPr>
      </w:pPr>
      <w:r>
        <w:rPr>
          <w:sz w:val="28"/>
        </w:rPr>
        <w:t>Организатор в аудитории заполняет информацию на пакетах: наименование, адрес и номер ППЭ, номер аудитории, наименование и код учебного предмета, по которому проводился экзамен, количество материалов в пакете, ФИО ответственного организатора в аудитории.</w:t>
      </w:r>
    </w:p>
    <w:p>
      <w:pPr>
        <w:pStyle w:val="1111"/>
        <w:numPr>
          <w:ilvl w:val="0"/>
          <w:numId w:val="7"/>
        </w:numPr>
        <w:tabs>
          <w:tab w:val="clear" w:pos="709"/>
          <w:tab w:val="left" w:pos="851" w:leader="none"/>
          <w:tab w:val="left" w:pos="993" w:leader="none"/>
          <w:tab w:val="left" w:pos="4707" w:leader="none"/>
        </w:tabs>
        <w:ind w:firstLine="709" w:left="0" w:right="0"/>
        <w:jc w:val="both"/>
        <w:rPr>
          <w:rFonts w:ascii="Times New Roman" w:hAnsi="Times New Roman"/>
          <w:sz w:val="28"/>
        </w:rPr>
      </w:pPr>
      <w:r>
        <w:rPr>
          <w:b/>
          <w:sz w:val="28"/>
        </w:rPr>
        <w:t>Для участников экзаменов, выполняющих письменную работу с использованием компьютера</w:t>
      </w:r>
      <w:r>
        <w:rPr>
          <w:rStyle w:val="FootnoteReference"/>
          <w:b/>
          <w:sz w:val="28"/>
        </w:rPr>
        <w:footnoteReference w:id="21"/>
      </w:r>
      <w:r>
        <w:rPr>
          <w:b/>
          <w:sz w:val="28"/>
        </w:rPr>
        <w:t>:</w:t>
      </w:r>
    </w:p>
    <w:p>
      <w:pPr>
        <w:pStyle w:val="1111"/>
        <w:tabs>
          <w:tab w:val="clear" w:pos="709"/>
          <w:tab w:val="left" w:pos="4707" w:leader="none"/>
        </w:tabs>
        <w:ind w:firstLine="709" w:left="0" w:right="0"/>
        <w:jc w:val="both"/>
        <w:rPr>
          <w:rFonts w:ascii="Times New Roman" w:hAnsi="Times New Roman"/>
          <w:sz w:val="28"/>
        </w:rPr>
      </w:pPr>
      <w:r>
        <w:rPr>
          <w:sz w:val="28"/>
        </w:rPr>
        <w:t>а) организаторы в аудитории в присутствии участников экзаменов распечатывают их ответы с компьютера, пронумеровав листы и указав на каждом листе номер листа и общее количество листов в работе;</w:t>
      </w:r>
    </w:p>
    <w:p>
      <w:pPr>
        <w:pStyle w:val="1111"/>
        <w:tabs>
          <w:tab w:val="clear" w:pos="709"/>
          <w:tab w:val="left" w:pos="4707" w:leader="none"/>
        </w:tabs>
        <w:ind w:firstLine="709" w:left="0" w:right="0"/>
        <w:jc w:val="both"/>
        <w:rPr>
          <w:rFonts w:ascii="Times New Roman" w:hAnsi="Times New Roman"/>
          <w:sz w:val="28"/>
        </w:rPr>
      </w:pPr>
      <w:r>
        <w:rPr>
          <w:sz w:val="28"/>
        </w:rPr>
        <w:t>б) в присутствии члена(-ов) ГЭК и общественных наблюдателей (при наличии) ассистенты переносят в ПОЛНОМ соответствии ответы участников экзаменов, распечатанные с компьютера, в бланки ответов, ДБО (при необходимости);</w:t>
      </w:r>
    </w:p>
    <w:p>
      <w:pPr>
        <w:pStyle w:val="1111"/>
        <w:tabs>
          <w:tab w:val="clear" w:pos="709"/>
          <w:tab w:val="left" w:pos="4707" w:leader="none"/>
        </w:tabs>
        <w:ind w:firstLine="709" w:left="0" w:right="0"/>
        <w:jc w:val="both"/>
        <w:rPr>
          <w:rFonts w:ascii="Times New Roman" w:hAnsi="Times New Roman"/>
          <w:sz w:val="28"/>
        </w:rPr>
      </w:pPr>
      <w:r>
        <w:rPr>
          <w:color w:val="000000"/>
          <w:sz w:val="28"/>
        </w:rPr>
        <w:t>в) при переносе ответов в бланки ответов в поле «Подпись участника» ассистент пишет «Копия верна» и ставит свою подпись;</w:t>
      </w:r>
    </w:p>
    <w:p>
      <w:pPr>
        <w:pStyle w:val="1111"/>
        <w:tabs>
          <w:tab w:val="clear" w:pos="709"/>
          <w:tab w:val="left" w:pos="4707" w:leader="none"/>
        </w:tabs>
        <w:ind w:firstLine="709" w:left="0" w:right="0"/>
        <w:jc w:val="both"/>
        <w:rPr>
          <w:rFonts w:ascii="Times New Roman" w:hAnsi="Times New Roman"/>
          <w:sz w:val="28"/>
        </w:rPr>
      </w:pPr>
      <w:r>
        <w:rPr>
          <w:color w:val="000000"/>
          <w:sz w:val="28"/>
        </w:rPr>
        <w:t xml:space="preserve">г) по окончании переноса ассистентами ответов участников экзаменов в бланки ответов, ДБО организаторы в аудитории упаковывают и запечатывают в первый пакет бланки регистрации, бланки ответов, ДБО, во второй пакет – распечатанные с компьютера ответы участников экзаменов. В отдельный пакет упаковываются бракованные (с нарушением комплектации и др.) ЭМ, в отдельный пакет – комплекты использованных КИМ. Все пакеты запечатываются. </w:t>
      </w:r>
      <w:r>
        <w:rPr>
          <w:sz w:val="28"/>
        </w:rPr>
        <w:t xml:space="preserve">Использованные и неиспользованные черновики необходимо пересчитать. </w:t>
      </w:r>
    </w:p>
    <w:p>
      <w:pPr>
        <w:pStyle w:val="1111"/>
        <w:tabs>
          <w:tab w:val="clear" w:pos="709"/>
          <w:tab w:val="left" w:pos="4707" w:leader="none"/>
        </w:tabs>
        <w:ind w:firstLine="709" w:left="0" w:right="0"/>
        <w:jc w:val="both"/>
        <w:rPr>
          <w:rFonts w:ascii="Times New Roman" w:hAnsi="Times New Roman"/>
          <w:sz w:val="28"/>
        </w:rPr>
      </w:pPr>
      <w:r>
        <w:rPr>
          <w:sz w:val="28"/>
        </w:rPr>
        <w:t>Организатор в аудитории заполняет информацию на пакетах: наименование, адрес и номер ППЭ, номер аудитории, наименование и код учебного предмета, по которому проводился экзамен, количество материалов в пакете, ФИО ответственного организатора в аудитории.</w:t>
      </w:r>
    </w:p>
    <w:p>
      <w:pPr>
        <w:pStyle w:val="1111"/>
        <w:tabs>
          <w:tab w:val="clear" w:pos="709"/>
          <w:tab w:val="left" w:pos="4707" w:leader="none"/>
        </w:tabs>
        <w:ind w:firstLine="709" w:left="0" w:right="0"/>
        <w:jc w:val="both"/>
        <w:rPr>
          <w:rFonts w:ascii="Times New Roman" w:hAnsi="Times New Roman"/>
          <w:b/>
          <w:i/>
          <w:i/>
          <w:sz w:val="28"/>
        </w:rPr>
      </w:pPr>
      <w:r>
        <w:rPr>
          <w:b/>
          <w:i/>
          <w:sz w:val="28"/>
        </w:rPr>
      </w:r>
    </w:p>
    <w:p>
      <w:pPr>
        <w:pStyle w:val="Heading1"/>
        <w:numPr>
          <w:ilvl w:val="0"/>
          <w:numId w:val="7"/>
        </w:numPr>
        <w:ind w:hanging="0" w:left="4520" w:right="0"/>
        <w:jc w:val="center"/>
        <w:rPr>
          <w:rFonts w:ascii="Times New Roman" w:hAnsi="Times New Roman"/>
          <w:sz w:val="28"/>
        </w:rPr>
      </w:pPr>
      <w:bookmarkStart w:id="25" w:name="__RefHeading___9"/>
      <w:bookmarkStart w:id="26" w:name="bookmark34"/>
      <w:bookmarkStart w:id="27" w:name="bookmark32"/>
      <w:bookmarkStart w:id="28" w:name="bookmark33"/>
      <w:bookmarkEnd w:id="25"/>
      <w:r>
        <w:rPr>
          <w:sz w:val="28"/>
        </w:rPr>
        <w:t xml:space="preserve">Особенности организации ЕГЭ по </w:t>
        <w:br/>
        <w:t>иностранному языку (устная часть)</w:t>
      </w:r>
      <w:bookmarkEnd w:id="26"/>
      <w:bookmarkEnd w:id="27"/>
      <w:bookmarkEnd w:id="28"/>
    </w:p>
    <w:p>
      <w:pPr>
        <w:pStyle w:val="1111"/>
        <w:tabs>
          <w:tab w:val="clear" w:pos="709"/>
          <w:tab w:val="left" w:pos="4707" w:leader="none"/>
        </w:tabs>
        <w:ind w:firstLine="709" w:left="0" w:right="0"/>
        <w:jc w:val="both"/>
        <w:rPr>
          <w:rFonts w:ascii="Times New Roman" w:hAnsi="Times New Roman"/>
          <w:sz w:val="28"/>
        </w:rPr>
      </w:pPr>
      <w:r>
        <w:rPr>
          <w:sz w:val="28"/>
        </w:rPr>
      </w:r>
    </w:p>
    <w:p>
      <w:pPr>
        <w:pStyle w:val="1111"/>
        <w:tabs>
          <w:tab w:val="clear" w:pos="709"/>
          <w:tab w:val="left" w:pos="4707" w:leader="none"/>
        </w:tabs>
        <w:ind w:firstLine="709" w:left="0" w:right="0"/>
        <w:jc w:val="both"/>
        <w:rPr>
          <w:rFonts w:ascii="Times New Roman" w:hAnsi="Times New Roman"/>
          <w:sz w:val="28"/>
        </w:rPr>
      </w:pPr>
      <w:r>
        <w:rPr>
          <w:sz w:val="28"/>
        </w:rPr>
        <w:t>ЕГЭ по иностранным языкам (устная часть) является высокотехнологичным экзаменом, его проведение с использованием КИМ, изготовленного на бумажном носителе плоскопечатным шрифтом, не предусмотрено.</w:t>
      </w:r>
    </w:p>
    <w:p>
      <w:pPr>
        <w:pStyle w:val="1111"/>
        <w:tabs>
          <w:tab w:val="clear" w:pos="709"/>
          <w:tab w:val="left" w:pos="4707" w:leader="none"/>
        </w:tabs>
        <w:ind w:firstLine="709" w:left="0" w:right="0"/>
        <w:jc w:val="both"/>
        <w:rPr>
          <w:rFonts w:ascii="Times New Roman" w:hAnsi="Times New Roman"/>
          <w:sz w:val="28"/>
        </w:rPr>
      </w:pPr>
      <w:r>
        <w:rPr>
          <w:sz w:val="28"/>
        </w:rPr>
        <w:t>Для организации ЕГЭ по иностранным языкам для участников экзаменов в ППЭ (за исключением ППЭ на дому, в медицинской организации, в которых число сдающих не больше, чем подготовленных станций записи) готовятся 2 типа аудиторий – аудитории подготовки и аудитории проведения. Аудитории обоих типов должны отвечать требованиям, предъявляемым к аудиториям проведения экзаменов для участников экзаменов, в том числе в части организации доступной среды и комфортного пребывания.</w:t>
      </w:r>
    </w:p>
    <w:p>
      <w:pPr>
        <w:pStyle w:val="1111"/>
        <w:tabs>
          <w:tab w:val="clear" w:pos="709"/>
          <w:tab w:val="left" w:pos="4707" w:leader="none"/>
        </w:tabs>
        <w:ind w:firstLine="709" w:left="0" w:right="0"/>
        <w:jc w:val="both"/>
        <w:rPr>
          <w:rFonts w:ascii="Times New Roman" w:hAnsi="Times New Roman"/>
          <w:sz w:val="28"/>
        </w:rPr>
      </w:pPr>
      <w:r>
        <w:rPr>
          <w:sz w:val="28"/>
        </w:rPr>
        <w:t>Аудитории подготовки оснащаются, как аудитории для проведения стандартных экзаменов. В данных аудиториях допускается рассадка участников экзамена и участников экзаменов без ОВЗ и инвалидности (в случае присутствия в аудитории участников экзаменов без ОВЗ и инвалидности видеонаблюдение в ней ведется с трансляцией в сеть «Интернет»).</w:t>
      </w:r>
    </w:p>
    <w:p>
      <w:pPr>
        <w:pStyle w:val="1111"/>
        <w:tabs>
          <w:tab w:val="clear" w:pos="709"/>
          <w:tab w:val="left" w:pos="4707" w:leader="none"/>
        </w:tabs>
        <w:ind w:firstLine="709" w:left="0" w:right="0"/>
        <w:jc w:val="both"/>
        <w:rPr>
          <w:rFonts w:ascii="Times New Roman" w:hAnsi="Times New Roman"/>
          <w:sz w:val="28"/>
        </w:rPr>
      </w:pPr>
      <w:r>
        <w:rPr>
          <w:sz w:val="28"/>
        </w:rPr>
        <w:t>Аудитории проведения оснащаются компьютерами с установленными станциями записи ответов (версия для ОВЗ) и подключенными гарнитурами. Данная версия реализует увеличенную продолжительность экзамена (увеличение на 30 минут) и снимает временные ограничения на подготовку и запись ответа на задания КИМ. Недопустимо устанавливать в одной аудитории стандартную версию станции записи ответов и версию для ОВЗ (то есть участники экзаменов без ОВЗ и инвалидности и участники экзаменов не могут быть распределены в одну аудиторию проведения). При подготовке аудитории технический специалист при установке станции записи ответов из дистрибутива должен выбрать версию для ОВЗ. Количество аудиторий и рабочих мест в них должно быть подготовлено из расчета, что на каждом компьютере сдают не более 2 участников экзамена (предпочтительно – 1 участник экзамена).</w:t>
      </w:r>
    </w:p>
    <w:p>
      <w:pPr>
        <w:pStyle w:val="1111"/>
        <w:tabs>
          <w:tab w:val="clear" w:pos="709"/>
          <w:tab w:val="left" w:pos="4707" w:leader="none"/>
        </w:tabs>
        <w:ind w:firstLine="709" w:left="0" w:right="0"/>
        <w:jc w:val="both"/>
        <w:rPr>
          <w:rFonts w:ascii="Times New Roman" w:hAnsi="Times New Roman"/>
          <w:sz w:val="28"/>
        </w:rPr>
      </w:pPr>
      <w:r>
        <w:rPr>
          <w:sz w:val="28"/>
        </w:rPr>
        <w:t>КИМ для участников экзамена всех нозологических групп является стандартным, исключение составляют слепые, поздноослепшие, слабовидящие, владеющие шрифтом Брайля, и глухие, слабослышащие, позднооглохшие, кохлеарно имплантированные, владеющие устной речью, участники экзамена: для слепых участников экзамена предлагается особый КИМ (содержит только текст без иллюстраций и визуальных образов), задания к этому КИМ также переводятся на шрифт Брайля; для глухих участников экзамена предлагается КИМ, задания которого полностью предъявляются на экране. КИМ в электронном виде для этих категорий включены в общий интернет-пакет с ЭМ, поэтому для его установки на станцию записи ответов достаточно загрузить интернет-пакет стандартным образом, никаких дополнительных действий не требуется. Бланки регистрации, а также КИМ, изготовленный шрифтом Брайля, доставляются в ППЭ членом ГЭК в день экзамена.</w:t>
      </w:r>
    </w:p>
    <w:p>
      <w:pPr>
        <w:pStyle w:val="1111"/>
        <w:tabs>
          <w:tab w:val="clear" w:pos="709"/>
          <w:tab w:val="left" w:pos="4707" w:leader="none"/>
        </w:tabs>
        <w:ind w:firstLine="709" w:left="0" w:right="0"/>
        <w:jc w:val="both"/>
        <w:rPr>
          <w:rFonts w:ascii="Times New Roman" w:hAnsi="Times New Roman"/>
          <w:sz w:val="28"/>
        </w:rPr>
      </w:pPr>
      <w:r>
        <w:rPr>
          <w:b/>
          <w:sz w:val="28"/>
        </w:rPr>
        <w:t>В ППЭ на дому/в медицинской организации</w:t>
      </w:r>
      <w:r>
        <w:rPr>
          <w:sz w:val="28"/>
        </w:rPr>
        <w:t xml:space="preserve"> (в случае если число сдающих не больше, чем подготовленных станций записи) допускается организовать аудиторию подготовки и аудиторию проведения в одном помещении, на компьютер, не имеющий выхода в сеть «Интернет», устанавливается одновременно станция организатора, станция записи ответов и станция Штаба ППЭ. В случае если в ППЭ на дому/ в медицинской организации сдают экзамен только слепые и/или глухие участники экзамена, станция организатора не устанавливается, печать бланков регистрации не производится. В этом случае материалы экзамена доставляются в РЦОИ членом ГЭК в день проведения экзамена. Для обеспечения возможности сканирования бланков регистрации такой ППЭ в РИС помечают как ППЭ, использующий технологии печати и сканирования, но все аудитории подготовки должны быть помечены как аудитории без печати.</w:t>
      </w:r>
    </w:p>
    <w:p>
      <w:pPr>
        <w:pStyle w:val="1111"/>
        <w:tabs>
          <w:tab w:val="clear" w:pos="709"/>
          <w:tab w:val="left" w:pos="4707" w:leader="none"/>
        </w:tabs>
        <w:ind w:firstLine="709" w:left="0" w:right="0"/>
        <w:jc w:val="both"/>
        <w:rPr>
          <w:rFonts w:ascii="Times New Roman" w:hAnsi="Times New Roman"/>
          <w:sz w:val="28"/>
        </w:rPr>
      </w:pPr>
      <w:r>
        <w:rPr>
          <w:sz w:val="28"/>
        </w:rPr>
        <w:t>При подготовке материалов для проведения экзамена с использованием станции записи ответов (версия ОВЗ) подготавливается Инструкция для участников ЕГЭ по использованию программного обеспечения сдачи устного экзамена по иностранным языкам (по соответствующему языку), ориентированную именно на указанную версию станции записи.</w:t>
      </w:r>
    </w:p>
    <w:p>
      <w:pPr>
        <w:pStyle w:val="1111"/>
        <w:tabs>
          <w:tab w:val="clear" w:pos="709"/>
          <w:tab w:val="left" w:pos="4707" w:leader="none"/>
        </w:tabs>
        <w:ind w:firstLine="709" w:left="0" w:right="0"/>
        <w:jc w:val="both"/>
        <w:rPr>
          <w:rFonts w:ascii="Times New Roman" w:hAnsi="Times New Roman"/>
          <w:sz w:val="28"/>
        </w:rPr>
      </w:pPr>
      <w:r>
        <w:rPr>
          <w:sz w:val="28"/>
        </w:rPr>
        <w:t>Если на экзамене присутствуют ассистенты, то для них подготавливается Инструкция для ассистента участника по использованию программного обеспечения сдачи устного экзамена по иностранным языкам. В случае если экзамен сдают слепые участники экзамена, то для их ассистентов подготавливается специальная версия указанной инструкции.</w:t>
      </w:r>
    </w:p>
    <w:p>
      <w:pPr>
        <w:pStyle w:val="1111"/>
        <w:tabs>
          <w:tab w:val="clear" w:pos="709"/>
          <w:tab w:val="left" w:pos="4707" w:leader="none"/>
        </w:tabs>
        <w:ind w:firstLine="709" w:left="0" w:right="0"/>
        <w:jc w:val="both"/>
        <w:rPr>
          <w:rFonts w:ascii="Times New Roman" w:hAnsi="Times New Roman"/>
          <w:sz w:val="28"/>
        </w:rPr>
      </w:pPr>
      <w:r>
        <w:rPr>
          <w:sz w:val="28"/>
        </w:rPr>
        <w:t>Со всеми указанными инструкциями участники экзаменов и их ассистенты могут ознакомиться на сайте ФЦТ в разделе «ГИА – технологические решения – устная часть иностранных языков» https://rustest.ru/deyatelnost/gia/gia-11/tehnologicheskie-reshenya-gia-11/ustnaya-chast-inostrannyh-yazykov/.</w:t>
      </w:r>
    </w:p>
    <w:p>
      <w:pPr>
        <w:pStyle w:val="1111"/>
        <w:tabs>
          <w:tab w:val="clear" w:pos="709"/>
          <w:tab w:val="left" w:pos="4707" w:leader="none"/>
        </w:tabs>
        <w:ind w:firstLine="709" w:left="0" w:right="0"/>
        <w:jc w:val="both"/>
        <w:rPr>
          <w:rFonts w:ascii="Times New Roman" w:hAnsi="Times New Roman"/>
          <w:sz w:val="28"/>
        </w:rPr>
      </w:pPr>
      <w:r>
        <w:rPr>
          <w:b/>
          <w:sz w:val="28"/>
        </w:rPr>
        <w:t>Особенности начала экзамена для слепых участ</w:t>
      </w:r>
      <w:bookmarkStart w:id="29" w:name="_GoBack"/>
      <w:bookmarkEnd w:id="29"/>
      <w:r>
        <w:rPr>
          <w:b/>
          <w:sz w:val="28"/>
        </w:rPr>
        <w:t>ников экзамена.</w:t>
      </w:r>
    </w:p>
    <w:p>
      <w:pPr>
        <w:pStyle w:val="1111"/>
        <w:tabs>
          <w:tab w:val="clear" w:pos="709"/>
          <w:tab w:val="left" w:pos="4707" w:leader="none"/>
        </w:tabs>
        <w:ind w:firstLine="709" w:left="0" w:right="0"/>
        <w:jc w:val="both"/>
        <w:rPr>
          <w:rFonts w:ascii="Times New Roman" w:hAnsi="Times New Roman"/>
          <w:sz w:val="28"/>
        </w:rPr>
      </w:pPr>
      <w:r>
        <w:rPr>
          <w:sz w:val="28"/>
        </w:rPr>
        <w:t>Член ГЭК в день экзамена доставляет в ППЭ ИК, содержащие КИМ, изготовленный рельефно-точечным шрифтом Брайля и конверт с бланком регистрации и адресным листом. ИК член ГЭК передает руководителю ППЭ. Не ранее 09:45 организатор в аудитории проведения получает у руководителя ППЭ указанные ИК. Не ранее 10:00 организатор в аудитории проведения в зоне видимости камер видеонаблюдения вскрывает ИК и отделяет конверт с бланком регистрации. Указанный конверт организатор в аудитории проведения переносит в аудиторию подготовки, где находится слепой участник экзамена, и передает этот конверт организатору в аудитории подготовки. Организатор в аудитории подготовки выдает конверт участнику экзамена (ассистенту), который его вскрывает (по указанию организатора в аудитории). Далее ассистент заполняет бланк регистрации (за исключением номера аудитории) и они с участником экзамена ожидают своей очереди сдачи экзамена. По прибытии в аудиторию проведения участник экзамена и его ассистент действуют в соответствии с указаниями организатора в аудитории проведения, в том числе ассистент заполняет номер аудитории в бланке регистрации, при работе за компьютером станцией записи ответов (версия для ОВЗ) управляет ассистент, руководствуясь Инструкцией для ассистента участника по использованию программного обеспечения сдачи устного экзамена по иностранным языкам (версия для слепых).</w:t>
      </w:r>
    </w:p>
    <w:p>
      <w:pPr>
        <w:pStyle w:val="1111"/>
        <w:tabs>
          <w:tab w:val="clear" w:pos="709"/>
          <w:tab w:val="left" w:pos="4707" w:leader="none"/>
        </w:tabs>
        <w:ind w:firstLine="709" w:left="0" w:right="0"/>
        <w:jc w:val="both"/>
        <w:rPr>
          <w:rFonts w:ascii="Times New Roman" w:hAnsi="Times New Roman"/>
          <w:sz w:val="28"/>
        </w:rPr>
      </w:pPr>
      <w:r>
        <w:rPr>
          <w:b/>
          <w:sz w:val="28"/>
        </w:rPr>
        <w:t>Особенности начала экзамена для глухих, слабослышащих, позднооглохших и кохлеарно имплантированных участников экзамена.</w:t>
      </w:r>
    </w:p>
    <w:p>
      <w:pPr>
        <w:pStyle w:val="1111"/>
        <w:tabs>
          <w:tab w:val="clear" w:pos="709"/>
          <w:tab w:val="left" w:pos="4707" w:leader="none"/>
        </w:tabs>
        <w:ind w:firstLine="709" w:left="0" w:right="0"/>
        <w:jc w:val="both"/>
        <w:rPr>
          <w:rFonts w:ascii="Times New Roman" w:hAnsi="Times New Roman"/>
          <w:sz w:val="28"/>
        </w:rPr>
      </w:pPr>
      <w:r>
        <w:rPr>
          <w:sz w:val="28"/>
        </w:rPr>
        <w:t>Член ГЭК в день экзамена доставляет в ППЭ ИК, содержащие конверт с бланком регистрации и адресным листом (для глухих участников экзамена). ИК член ГЭК передает руководителю ППЭ. Не ранее 09:45 организатор в аудитории подготовки получает у руководителя ППЭ указанные ИК. Не ранее 10:00 организатор в аудитории подготовки в зоне видимости камер видеонаблюдения вскрывает ИК. Организатор в аудитории подготовки выдает конверт с бланком регистрации участнику экзамена, который его вскрывает (по указанию организатора в аудитории). Далее участник экзамена заполняет бланк регистрации (за исключением номера аудитории) и ожидает своей очереди сдачи экзамена. По прибытии в аудиторию проведения участник экзамена действует в соответствии с указаниями организатора в аудитории проведения, в том числе заполняет номер аудитории в бланке регистрации. При работе со станцией записи ответов руководствуется Инструкцией для участников ЕГЭ по использованию программного обеспечения сдачи устного экзамена по иностранным языкам, версия для ОВЗ (по соответствующему языку).</w:t>
      </w:r>
    </w:p>
    <w:p>
      <w:pPr>
        <w:pStyle w:val="1111"/>
        <w:tabs>
          <w:tab w:val="clear" w:pos="709"/>
          <w:tab w:val="left" w:pos="4707" w:leader="none"/>
        </w:tabs>
        <w:ind w:firstLine="709" w:left="0" w:right="0"/>
        <w:jc w:val="both"/>
        <w:rPr>
          <w:rFonts w:ascii="Times New Roman" w:hAnsi="Times New Roman"/>
          <w:sz w:val="28"/>
        </w:rPr>
      </w:pPr>
      <w:r>
        <w:rPr>
          <w:sz w:val="28"/>
        </w:rPr>
      </w:r>
    </w:p>
    <w:p>
      <w:pPr>
        <w:pStyle w:val="Heading1"/>
        <w:numPr>
          <w:ilvl w:val="0"/>
          <w:numId w:val="8"/>
        </w:numPr>
        <w:ind w:hanging="360" w:left="786" w:right="0"/>
        <w:rPr>
          <w:rFonts w:ascii="Times New Roman" w:hAnsi="Times New Roman"/>
          <w:sz w:val="28"/>
        </w:rPr>
      </w:pPr>
      <w:bookmarkStart w:id="30" w:name="__RefHeading___10"/>
      <w:bookmarkEnd w:id="30"/>
      <w:r>
        <w:rPr>
          <w:sz w:val="28"/>
        </w:rPr>
        <w:t>Особенности организации ЕГЭ по иностранному языку (устная часть)</w:t>
      </w:r>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r>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Руководитель ППЭ в присутствии члена ГЭК после окончания экзамена получает от всех ответственных организаторов в аудитории в Штабе ППЭ:</w:t>
      </w:r>
    </w:p>
    <w:p>
      <w:pPr>
        <w:pStyle w:val="1111"/>
        <w:numPr>
          <w:ilvl w:val="0"/>
          <w:numId w:val="9"/>
        </w:numPr>
        <w:tabs>
          <w:tab w:val="clear" w:pos="709"/>
          <w:tab w:val="left" w:pos="851" w:leader="none"/>
          <w:tab w:val="left" w:pos="1134" w:leader="none"/>
          <w:tab w:val="left" w:pos="4707" w:leader="none"/>
        </w:tabs>
        <w:ind w:firstLine="709" w:left="0" w:right="0"/>
        <w:jc w:val="both"/>
        <w:rPr>
          <w:rFonts w:ascii="Times New Roman" w:hAnsi="Times New Roman"/>
          <w:sz w:val="28"/>
        </w:rPr>
      </w:pPr>
      <w:r>
        <w:rPr>
          <w:b/>
          <w:sz w:val="28"/>
        </w:rPr>
        <w:t>из аудитории для слепых, поздноослепших, слабовидящих участников экзамена, владеющих шрифтом Брайля</w:t>
      </w:r>
      <w:r>
        <w:rPr>
          <w:rStyle w:val="FootnoteReference"/>
          <w:b/>
          <w:sz w:val="28"/>
        </w:rPr>
        <w:footnoteReference w:id="22"/>
      </w:r>
      <w:r>
        <w:rPr>
          <w:b/>
          <w:sz w:val="28"/>
        </w:rPr>
        <w:t>:</w:t>
      </w:r>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в случае принятия Министерством решения об организации работы Комиссии тифлопереводчиков в РЦОИ:</w:t>
      </w:r>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запечатанный пакет, в котором находятся конверты ИК, содержащие специальные тетради для записи ответов, дополнительный(-ые) лист (листы) для записи ответов по системе Брайля (при наличии), бланки регистрации, бланки ответов;</w:t>
      </w:r>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запечатанный пакет с использованными КИМ;</w:t>
      </w:r>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 xml:space="preserve">запечатанный пакет с бракованными (с нарушением комплектации и др.) ЭМ; </w:t>
      </w:r>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использованные черновики.</w:t>
      </w:r>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В случае принятия Министерством решения об организации работы Комиссии тифлопереводчиков в аудитории проведения экзамена в ППЭ после окончания экзамена:</w:t>
      </w:r>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запечатанный пакет с бланками регистрации, бланками ответов, ДБО;</w:t>
      </w:r>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запечатанный пакет со специальными тетрадями для записи ответов, дополнительным(и) листом (листами) для записи ответов по системе Брайля (при наличии);</w:t>
      </w:r>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запечатанный пакет с использованными КИМ;</w:t>
      </w:r>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 xml:space="preserve">запечатанный пакет с бракованными (с нарушением комплектации и др.) ЭМ; </w:t>
      </w:r>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использованные черновики.</w:t>
      </w:r>
    </w:p>
    <w:p>
      <w:pPr>
        <w:pStyle w:val="1111"/>
        <w:numPr>
          <w:ilvl w:val="0"/>
          <w:numId w:val="9"/>
        </w:numPr>
        <w:tabs>
          <w:tab w:val="clear" w:pos="709"/>
          <w:tab w:val="left" w:pos="851" w:leader="none"/>
          <w:tab w:val="left" w:pos="1134" w:leader="none"/>
          <w:tab w:val="left" w:pos="4707" w:leader="none"/>
        </w:tabs>
        <w:ind w:firstLine="709" w:left="0" w:right="0"/>
        <w:jc w:val="both"/>
        <w:rPr>
          <w:rFonts w:ascii="Times New Roman" w:hAnsi="Times New Roman"/>
          <w:sz w:val="28"/>
        </w:rPr>
      </w:pPr>
      <w:r>
        <w:rPr>
          <w:b/>
          <w:sz w:val="28"/>
        </w:rPr>
        <w:t>из аудитории для слабовидящих участников экзамена:</w:t>
      </w:r>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запечатанные пакеты с бланками регистрации, бланками ответов, ДБО;</w:t>
      </w:r>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запечатанные пакеты с использованными КИМ;</w:t>
      </w:r>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 xml:space="preserve">запечатанные пакеты с бракованными (с нарушением комплектации и др.) ЭМ; </w:t>
      </w:r>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использованные черновики.</w:t>
      </w:r>
    </w:p>
    <w:p>
      <w:pPr>
        <w:pStyle w:val="1111"/>
        <w:numPr>
          <w:ilvl w:val="0"/>
          <w:numId w:val="9"/>
        </w:numPr>
        <w:tabs>
          <w:tab w:val="clear" w:pos="709"/>
          <w:tab w:val="left" w:pos="851" w:leader="none"/>
          <w:tab w:val="left" w:pos="1134" w:leader="none"/>
          <w:tab w:val="left" w:pos="4707" w:leader="none"/>
        </w:tabs>
        <w:ind w:firstLine="709" w:left="0" w:right="0"/>
        <w:jc w:val="both"/>
        <w:rPr>
          <w:rFonts w:ascii="Times New Roman" w:hAnsi="Times New Roman"/>
          <w:sz w:val="28"/>
        </w:rPr>
      </w:pPr>
      <w:r>
        <w:rPr>
          <w:b/>
          <w:sz w:val="28"/>
        </w:rPr>
        <w:t>из аудитории для участников экзамена, выполнявших письменную работу с использованием компьютера</w:t>
      </w:r>
      <w:r>
        <w:rPr>
          <w:rStyle w:val="FootnoteReference"/>
          <w:b/>
          <w:sz w:val="28"/>
        </w:rPr>
        <w:footnoteReference w:id="23"/>
      </w:r>
      <w:r>
        <w:rPr>
          <w:b/>
          <w:sz w:val="28"/>
        </w:rPr>
        <w:t>:</w:t>
      </w:r>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запечатанный пакет с бланками регистрации, бланками ответов, ДБО;</w:t>
      </w:r>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запечатанный пакет с распечатанными с компьютеров ответами участников экзамена на задания КИМ;</w:t>
      </w:r>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запечатанный пакет с использованными КИМ;</w:t>
      </w:r>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запечатанный пакет с бракованными (с нарушением комплектации и др.) ЭМ;</w:t>
      </w:r>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использованные черновики.</w:t>
      </w:r>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Руководитель ППЭ передает члену ГЭК материалы экзамена, полученные из специализированных (отдельных) аудиторий, отдельно от ЭМ, полученных из остальных аудиторий ППЭ. Доставка из ППЭ в РЦОИ материалов экзамена, полученных из специализированных (отдельных) аудиторий, производится членом ГЭК незамедлительно по окончании процедуры сбора и оформления всех документов, если в ППЭ не проводится сканирование бланков ответов, ДБО.</w:t>
      </w:r>
    </w:p>
    <w:p>
      <w:pPr>
        <w:pStyle w:val="1111"/>
        <w:tabs>
          <w:tab w:val="clear" w:pos="709"/>
          <w:tab w:val="left" w:pos="851" w:leader="none"/>
          <w:tab w:val="left" w:pos="4707" w:leader="none"/>
        </w:tabs>
        <w:ind w:firstLine="709" w:left="0" w:right="0"/>
        <w:jc w:val="both"/>
        <w:rPr>
          <w:rFonts w:ascii="Times New Roman" w:hAnsi="Times New Roman"/>
          <w:sz w:val="28"/>
        </w:rPr>
      </w:pPr>
      <w:r>
        <w:rPr>
          <w:sz w:val="28"/>
        </w:rPr>
        <w:t>При проведении в ППЭ сканирования бланков ответов, ДБО все материалы экзамена, полученные из специализированной (отдельной) аудитории, сканируются отдельно и передаются в РЦОИ отдельным пакетом. Хранение и передача ЭМ осуществляется в установленном порядке</w:t>
      </w:r>
      <w:r>
        <w:rPr>
          <w:rStyle w:val="FootnoteReference"/>
          <w:sz w:val="28"/>
        </w:rPr>
        <w:footnoteReference w:id="24"/>
      </w:r>
      <w:r>
        <w:rPr>
          <w:sz w:val="28"/>
        </w:rPr>
        <w:t>.</w:t>
      </w:r>
    </w:p>
    <w:p>
      <w:pPr>
        <w:pStyle w:val="1111"/>
        <w:tabs>
          <w:tab w:val="clear" w:pos="709"/>
          <w:tab w:val="left" w:pos="851" w:leader="none"/>
          <w:tab w:val="left" w:pos="1134" w:leader="none"/>
          <w:tab w:val="left" w:pos="4707" w:leader="none"/>
        </w:tabs>
        <w:ind w:firstLine="709" w:left="0" w:right="0"/>
        <w:jc w:val="both"/>
        <w:rPr>
          <w:rFonts w:ascii="Times New Roman" w:hAnsi="Times New Roman"/>
          <w:sz w:val="28"/>
        </w:rPr>
      </w:pPr>
      <w:r>
        <w:rPr>
          <w:sz w:val="28"/>
        </w:rPr>
        <w:t>Материалы, полученные из аудиторий для слепых, поздноослепших, слабовидящих участников экзамена, владеющих шрифтом Брайля, могут быть отсканированы либо на станции Штаба ППЭ, либо в РЦОИ. Сканирование в аудитории невозможно, поскольку в данных аудиториях не производится печать ЭМ (и станция организатора не устанавливается). Если в ППЭ не проводилась печать ни в одной аудитории, материалы экзамена могут быть отсканированы на станции Штаба ППЭ только в том случае, если такой ППЭ в РИС на этапе планирования был помечен как ППЭ, использующий технологии печати и сканирования, но при этом все аудитории были помечены как аудитории без печати. В противном случае материалы экзамена доставляются в РЦОИ членом ГЭК в день проведения экзамена и сканируются (загружаются – для аудиофайлов с устными ответами) до 23:59 дня проведения экзамена.</w:t>
      </w:r>
    </w:p>
    <w:p>
      <w:pPr>
        <w:pStyle w:val="1112"/>
        <w:keepNext w:val="true"/>
        <w:keepLines/>
        <w:tabs>
          <w:tab w:val="clear" w:pos="709"/>
          <w:tab w:val="left" w:pos="303" w:leader="none"/>
          <w:tab w:val="left" w:pos="1134" w:leader="none"/>
          <w:tab w:val="left" w:pos="4707" w:leader="none"/>
        </w:tabs>
        <w:spacing w:before="0" w:after="280"/>
        <w:ind w:hanging="0" w:left="709" w:right="0"/>
        <w:jc w:val="center"/>
        <w:rPr>
          <w:rFonts w:ascii="Times New Roman" w:hAnsi="Times New Roman"/>
          <w:sz w:val="28"/>
        </w:rPr>
      </w:pPr>
      <w:r>
        <w:rPr>
          <w:sz w:val="28"/>
        </w:rPr>
      </w:r>
      <w:r>
        <w:br w:type="page"/>
      </w:r>
    </w:p>
    <w:p>
      <w:pPr>
        <w:pStyle w:val="Heading1"/>
        <w:spacing w:before="0" w:after="0"/>
        <w:jc w:val="right"/>
        <w:rPr/>
      </w:pPr>
      <w:bookmarkStart w:id="31" w:name="__RefHeading___11"/>
      <w:bookmarkStart w:id="32" w:name="bookmark35"/>
      <w:bookmarkEnd w:id="31"/>
      <w:r>
        <w:rPr/>
        <w:t xml:space="preserve">Приложение 1. </w:t>
      </w:r>
      <w:bookmarkEnd w:id="32"/>
    </w:p>
    <w:p>
      <w:pPr>
        <w:pStyle w:val="BodyText"/>
        <w:jc w:val="center"/>
        <w:rPr>
          <w:b/>
          <w:sz w:val="28"/>
        </w:rPr>
      </w:pPr>
      <w:bookmarkStart w:id="33" w:name="__RefHeading___Toc158699_1129503340"/>
      <w:bookmarkEnd w:id="33"/>
      <w:r>
        <w:rPr>
          <w:b/>
          <w:sz w:val="28"/>
        </w:rPr>
        <w:t>Положение о Комиссии тифлопереводчиков</w:t>
      </w:r>
    </w:p>
    <w:p>
      <w:pPr>
        <w:pStyle w:val="1111"/>
        <w:tabs>
          <w:tab w:val="clear" w:pos="709"/>
          <w:tab w:val="left" w:pos="851" w:leader="none"/>
          <w:tab w:val="left" w:pos="1134" w:leader="none"/>
          <w:tab w:val="left" w:pos="4707" w:leader="none"/>
        </w:tabs>
        <w:ind w:firstLine="709" w:left="0" w:right="0"/>
        <w:jc w:val="center"/>
        <w:rPr>
          <w:sz w:val="28"/>
        </w:rPr>
      </w:pPr>
      <w:bookmarkStart w:id="34" w:name="bookmark37"/>
      <w:bookmarkStart w:id="35" w:name="bookmark36"/>
      <w:r>
        <w:rPr>
          <w:b/>
          <w:sz w:val="28"/>
        </w:rPr>
        <w:t>Общие положения</w:t>
      </w:r>
      <w:bookmarkEnd w:id="34"/>
      <w:bookmarkEnd w:id="35"/>
    </w:p>
    <w:p>
      <w:pPr>
        <w:pStyle w:val="1111"/>
        <w:numPr>
          <w:ilvl w:val="0"/>
          <w:numId w:val="10"/>
        </w:numPr>
        <w:tabs>
          <w:tab w:val="clear" w:pos="709"/>
          <w:tab w:val="left" w:pos="851" w:leader="none"/>
          <w:tab w:val="left" w:pos="1134" w:leader="none"/>
          <w:tab w:val="left" w:pos="4707" w:leader="none"/>
        </w:tabs>
        <w:ind w:firstLine="709" w:left="0" w:right="0"/>
        <w:jc w:val="both"/>
        <w:rPr>
          <w:sz w:val="28"/>
        </w:rPr>
      </w:pPr>
      <w:r>
        <w:rPr>
          <w:sz w:val="28"/>
        </w:rPr>
        <w:t>Настоящее Положение определяет цели, состав и структуру Комиссии тифлопереводчиков, создаваемой в целях организации и проведения ГИА для слепых, поздноослепших, слабовидящих участников экзаменов, владеющих шрифтом Брайля (далее – Комиссия), ее полномочия и функции, права, обязанности и ответственность ее членов, а также порядок организации работы.</w:t>
      </w:r>
    </w:p>
    <w:p>
      <w:pPr>
        <w:pStyle w:val="1111"/>
        <w:numPr>
          <w:ilvl w:val="0"/>
          <w:numId w:val="10"/>
        </w:numPr>
        <w:tabs>
          <w:tab w:val="clear" w:pos="709"/>
          <w:tab w:val="left" w:pos="851" w:leader="none"/>
          <w:tab w:val="left" w:pos="1134" w:leader="none"/>
          <w:tab w:val="left" w:pos="4707" w:leader="none"/>
        </w:tabs>
        <w:ind w:firstLine="709" w:left="0" w:right="0"/>
        <w:jc w:val="both"/>
        <w:rPr>
          <w:sz w:val="28"/>
        </w:rPr>
      </w:pPr>
      <w:r>
        <w:rPr>
          <w:sz w:val="28"/>
        </w:rPr>
        <w:t>Координацию деятельности Комиссии осуществляет ГЭК. ГЭК организует работу Комиссии совместно с РЦОИ и работниками ППЭ.</w:t>
      </w:r>
    </w:p>
    <w:p>
      <w:pPr>
        <w:pStyle w:val="1111"/>
        <w:numPr>
          <w:ilvl w:val="0"/>
          <w:numId w:val="10"/>
        </w:numPr>
        <w:tabs>
          <w:tab w:val="clear" w:pos="709"/>
          <w:tab w:val="left" w:pos="851" w:leader="none"/>
          <w:tab w:val="left" w:pos="1134" w:leader="none"/>
          <w:tab w:val="left" w:pos="4707" w:leader="none"/>
        </w:tabs>
        <w:ind w:firstLine="709" w:left="0" w:right="0"/>
        <w:jc w:val="both"/>
        <w:rPr>
          <w:sz w:val="28"/>
        </w:rPr>
      </w:pPr>
      <w:r>
        <w:rPr>
          <w:sz w:val="28"/>
        </w:rPr>
        <w:t>Комиссия в своей работе руководствуется Федеральным законом от 29 декабря 2012 г. № 273-ФЗ «Об образовании в Российской Федерации», Порядком проведения государственной итоговой аттестации по образовательным программам среднего общего образования, утвержденным приказом Минпросвещения России и Рособрнадзора от 4 апреля 2023 г. № 233/552 (далее – Порядок).</w:t>
      </w:r>
    </w:p>
    <w:p>
      <w:pPr>
        <w:pStyle w:val="1111"/>
        <w:tabs>
          <w:tab w:val="clear" w:pos="709"/>
          <w:tab w:val="left" w:pos="851" w:leader="none"/>
          <w:tab w:val="left" w:pos="1134" w:leader="none"/>
          <w:tab w:val="left" w:pos="4707" w:leader="none"/>
        </w:tabs>
        <w:ind w:firstLine="709" w:left="0" w:right="0"/>
        <w:jc w:val="center"/>
        <w:rPr>
          <w:sz w:val="28"/>
        </w:rPr>
      </w:pPr>
      <w:r>
        <w:rPr>
          <w:sz w:val="28"/>
        </w:rPr>
      </w:r>
    </w:p>
    <w:p>
      <w:pPr>
        <w:pStyle w:val="1111"/>
        <w:tabs>
          <w:tab w:val="clear" w:pos="709"/>
          <w:tab w:val="left" w:pos="851" w:leader="none"/>
          <w:tab w:val="left" w:pos="1134" w:leader="none"/>
          <w:tab w:val="left" w:pos="4707" w:leader="none"/>
        </w:tabs>
        <w:ind w:firstLine="709" w:left="0" w:right="0"/>
        <w:jc w:val="center"/>
        <w:rPr>
          <w:sz w:val="28"/>
        </w:rPr>
      </w:pPr>
      <w:r>
        <w:rPr>
          <w:b/>
          <w:sz w:val="28"/>
        </w:rPr>
        <w:t>Организация работы Комиссии</w:t>
      </w:r>
    </w:p>
    <w:p>
      <w:pPr>
        <w:pStyle w:val="1111"/>
        <w:numPr>
          <w:ilvl w:val="0"/>
          <w:numId w:val="10"/>
        </w:numPr>
        <w:tabs>
          <w:tab w:val="clear" w:pos="709"/>
          <w:tab w:val="left" w:pos="851" w:leader="none"/>
          <w:tab w:val="left" w:pos="1134" w:leader="none"/>
          <w:tab w:val="left" w:pos="4707" w:leader="none"/>
        </w:tabs>
        <w:ind w:firstLine="709" w:left="0" w:right="0"/>
        <w:jc w:val="both"/>
        <w:rPr>
          <w:sz w:val="28"/>
        </w:rPr>
      </w:pPr>
      <w:r>
        <w:rPr>
          <w:b/>
          <w:sz w:val="28"/>
        </w:rPr>
        <w:t>Структура и состав Комиссии.</w:t>
      </w:r>
    </w:p>
    <w:p>
      <w:pPr>
        <w:pStyle w:val="1111"/>
        <w:tabs>
          <w:tab w:val="clear" w:pos="709"/>
          <w:tab w:val="left" w:pos="851" w:leader="none"/>
          <w:tab w:val="left" w:pos="1134" w:leader="none"/>
          <w:tab w:val="left" w:pos="4707" w:leader="none"/>
        </w:tabs>
        <w:ind w:firstLine="709" w:left="0" w:right="0"/>
        <w:jc w:val="both"/>
        <w:rPr>
          <w:sz w:val="28"/>
        </w:rPr>
      </w:pPr>
      <w:r>
        <w:rPr>
          <w:sz w:val="28"/>
        </w:rPr>
        <w:t>В состав Комиссии входит председатель Комиссии, заместитель председателя и тифлопереводчики.</w:t>
      </w:r>
    </w:p>
    <w:p>
      <w:pPr>
        <w:pStyle w:val="1111"/>
        <w:tabs>
          <w:tab w:val="clear" w:pos="709"/>
          <w:tab w:val="left" w:pos="851" w:leader="none"/>
          <w:tab w:val="left" w:pos="1134" w:leader="none"/>
          <w:tab w:val="left" w:pos="4707" w:leader="none"/>
        </w:tabs>
        <w:ind w:firstLine="709" w:left="0" w:right="0"/>
        <w:jc w:val="both"/>
        <w:rPr>
          <w:sz w:val="28"/>
        </w:rPr>
      </w:pPr>
      <w:r>
        <w:rPr>
          <w:sz w:val="28"/>
        </w:rPr>
        <w:t>Численный состав Комиссии определяется исходя из количества слепых участников ГИА (в соотношении один тифлопереводчик на одну экзаменационную работу</w:t>
      </w:r>
      <w:r>
        <w:rPr>
          <w:rStyle w:val="FootnoteReference"/>
          <w:sz w:val="28"/>
        </w:rPr>
        <w:footnoteReference w:id="25"/>
      </w:r>
      <w:r>
        <w:rPr>
          <w:sz w:val="28"/>
        </w:rPr>
        <w:t>).</w:t>
      </w:r>
    </w:p>
    <w:p>
      <w:pPr>
        <w:pStyle w:val="1111"/>
        <w:tabs>
          <w:tab w:val="clear" w:pos="709"/>
          <w:tab w:val="left" w:pos="851" w:leader="none"/>
          <w:tab w:val="left" w:pos="1134" w:leader="none"/>
          <w:tab w:val="left" w:pos="4707" w:leader="none"/>
        </w:tabs>
        <w:ind w:firstLine="709" w:left="0" w:right="0"/>
        <w:jc w:val="both"/>
        <w:rPr>
          <w:sz w:val="28"/>
        </w:rPr>
      </w:pPr>
      <w:r>
        <w:rPr>
          <w:sz w:val="28"/>
        </w:rPr>
        <w:t>В Комиссию в качестве тифлопереводчиков включаются педагогические работники организаций, осуществляющих образовательную деятельность, свободно владеющие техникой перевода рельефно-точечного шрифта Брайля на плоскопечатный вариант.</w:t>
      </w:r>
    </w:p>
    <w:p>
      <w:pPr>
        <w:pStyle w:val="1111"/>
        <w:tabs>
          <w:tab w:val="clear" w:pos="709"/>
          <w:tab w:val="left" w:pos="851" w:leader="none"/>
          <w:tab w:val="left" w:pos="1134" w:leader="none"/>
          <w:tab w:val="left" w:pos="4707" w:leader="none"/>
        </w:tabs>
        <w:ind w:firstLine="709" w:left="0" w:right="0"/>
        <w:jc w:val="both"/>
        <w:rPr>
          <w:sz w:val="28"/>
        </w:rPr>
      </w:pPr>
      <w:r>
        <w:rPr>
          <w:sz w:val="28"/>
        </w:rPr>
        <w:t>Состав Комиссии утверждается Министерством, по согласованию с ГЭК.</w:t>
      </w:r>
    </w:p>
    <w:p>
      <w:pPr>
        <w:pStyle w:val="1111"/>
        <w:numPr>
          <w:ilvl w:val="0"/>
          <w:numId w:val="10"/>
        </w:numPr>
        <w:tabs>
          <w:tab w:val="clear" w:pos="709"/>
          <w:tab w:val="left" w:pos="851" w:leader="none"/>
          <w:tab w:val="left" w:pos="1134" w:leader="none"/>
          <w:tab w:val="left" w:pos="4707" w:leader="none"/>
        </w:tabs>
        <w:ind w:firstLine="709" w:left="0" w:right="0"/>
        <w:jc w:val="both"/>
        <w:rPr>
          <w:sz w:val="28"/>
        </w:rPr>
      </w:pPr>
      <w:r>
        <w:rPr>
          <w:b/>
          <w:sz w:val="28"/>
        </w:rPr>
        <w:t>Полномочия, функции и организация работы Комиссии тифлопереводчиков.</w:t>
      </w:r>
    </w:p>
    <w:p>
      <w:pPr>
        <w:pStyle w:val="1111"/>
        <w:tabs>
          <w:tab w:val="clear" w:pos="709"/>
          <w:tab w:val="left" w:pos="851" w:leader="none"/>
          <w:tab w:val="left" w:pos="1134" w:leader="none"/>
          <w:tab w:val="left" w:pos="4707" w:leader="none"/>
        </w:tabs>
        <w:ind w:firstLine="709" w:left="0" w:right="0"/>
        <w:jc w:val="both"/>
        <w:rPr>
          <w:sz w:val="28"/>
        </w:rPr>
      </w:pPr>
      <w:r>
        <w:rPr>
          <w:sz w:val="28"/>
        </w:rPr>
        <w:t>Комиссия создается в целях организации и осуществления перевода экзаменационных работ слепых, поздноослепших, слабовидящих участников экзаменов, владеющих шрифтом Брайля, с рельефно-точечного шрифта Брайля на плоскопечатный шрифт для последующей обработки в соответствии с Порядком.</w:t>
      </w:r>
    </w:p>
    <w:p>
      <w:pPr>
        <w:pStyle w:val="1111"/>
        <w:tabs>
          <w:tab w:val="clear" w:pos="709"/>
          <w:tab w:val="left" w:pos="851" w:leader="none"/>
          <w:tab w:val="left" w:pos="1134" w:leader="none"/>
          <w:tab w:val="left" w:pos="4707" w:leader="none"/>
        </w:tabs>
        <w:ind w:firstLine="709" w:left="0" w:right="0"/>
        <w:jc w:val="both"/>
        <w:rPr>
          <w:sz w:val="28"/>
        </w:rPr>
      </w:pPr>
      <w:r>
        <w:rPr>
          <w:sz w:val="28"/>
        </w:rPr>
        <w:t>Комиссия работает в аудитории(-ях) проведения экзамена в ППЭ после окончания экзамена или в РЦОИ (в соответствии с организационно-технологической схемой проведения ГИА, принятой Министерством). В случае если в ППЭ несколько аудиторий для слепых, поздноослепших, слабовидящих участников экзаменов, владеющих шрифтом Брайля, выполняющих письменную экзаменационную работу рельефно-точечным шрифтом Брайля, Комиссия, закончив работу в одной аудитории, переходит в следующую аудиторию. При работе Комиссии осуществляется видеонаблюдение.</w:t>
      </w:r>
    </w:p>
    <w:p>
      <w:pPr>
        <w:pStyle w:val="1111"/>
        <w:tabs>
          <w:tab w:val="clear" w:pos="709"/>
          <w:tab w:val="left" w:pos="851" w:leader="none"/>
          <w:tab w:val="left" w:pos="1134" w:leader="none"/>
          <w:tab w:val="left" w:pos="4707" w:leader="none"/>
        </w:tabs>
        <w:ind w:firstLine="709" w:left="0" w:right="0"/>
        <w:jc w:val="both"/>
        <w:rPr>
          <w:sz w:val="28"/>
        </w:rPr>
      </w:pPr>
      <w:r>
        <w:rPr>
          <w:sz w:val="28"/>
        </w:rPr>
        <w:t>По окончании экзамена член ГЭК приглашает Комиссию в аудиторию проведения экзамена. Члены Комиссии размещаются за рабочими местами участников экзамена, на которых находятся конверты с ИК участника экзамена, содержащие специальные тетради для записи ответов, бланки ответов, дополнительные листы для записи ответов по системе Брайля (в случае их использования).</w:t>
      </w:r>
    </w:p>
    <w:p>
      <w:pPr>
        <w:pStyle w:val="1111"/>
        <w:tabs>
          <w:tab w:val="clear" w:pos="709"/>
          <w:tab w:val="left" w:pos="851" w:leader="none"/>
          <w:tab w:val="left" w:pos="1134" w:leader="none"/>
          <w:tab w:val="left" w:pos="4707" w:leader="none"/>
        </w:tabs>
        <w:ind w:firstLine="709" w:left="0" w:right="0"/>
        <w:jc w:val="both"/>
        <w:rPr>
          <w:sz w:val="28"/>
        </w:rPr>
      </w:pPr>
      <w:r>
        <w:rPr>
          <w:sz w:val="28"/>
        </w:rPr>
        <w:t>Помещения, выделенные для работы Комиссии в РЦОИ, должны ограничивать доступ посторонних лиц и обеспечивать соблюдение режима информационной безопасности и надлежащих условий хранения документации, а также должны быть оснащены средствами видеонаблюдения.</w:t>
      </w:r>
    </w:p>
    <w:p>
      <w:pPr>
        <w:pStyle w:val="1111"/>
        <w:tabs>
          <w:tab w:val="clear" w:pos="709"/>
          <w:tab w:val="left" w:pos="851" w:leader="none"/>
          <w:tab w:val="left" w:pos="1134" w:leader="none"/>
          <w:tab w:val="left" w:pos="4707" w:leader="none"/>
        </w:tabs>
        <w:ind w:firstLine="709" w:left="0" w:right="0"/>
        <w:jc w:val="both"/>
        <w:rPr>
          <w:sz w:val="28"/>
        </w:rPr>
      </w:pPr>
      <w:r>
        <w:rPr>
          <w:sz w:val="28"/>
        </w:rPr>
        <w:t>Комиссия вправе принимать по согласованию с ГЭК решения по организации работы Комиссии в случае возникновения форс-мажорных ситуаций и иных непредвиденных обстоятельств, препятствующих продолжению работы Комиссии.</w:t>
      </w:r>
    </w:p>
    <w:p>
      <w:pPr>
        <w:pStyle w:val="1111"/>
        <w:tabs>
          <w:tab w:val="clear" w:pos="709"/>
          <w:tab w:val="left" w:pos="851" w:leader="none"/>
          <w:tab w:val="left" w:pos="1134" w:leader="none"/>
          <w:tab w:val="left" w:pos="4707" w:leader="none"/>
        </w:tabs>
        <w:ind w:firstLine="709" w:left="0" w:right="0"/>
        <w:jc w:val="center"/>
        <w:rPr>
          <w:sz w:val="28"/>
        </w:rPr>
      </w:pPr>
      <w:r>
        <w:rPr>
          <w:b/>
          <w:sz w:val="28"/>
        </w:rPr>
        <w:t>Функции, права и обязанности членов Комиссии</w:t>
      </w:r>
    </w:p>
    <w:p>
      <w:pPr>
        <w:pStyle w:val="1111"/>
        <w:numPr>
          <w:ilvl w:val="0"/>
          <w:numId w:val="10"/>
        </w:numPr>
        <w:tabs>
          <w:tab w:val="clear" w:pos="709"/>
          <w:tab w:val="left" w:pos="851" w:leader="none"/>
          <w:tab w:val="left" w:pos="1134" w:leader="none"/>
          <w:tab w:val="left" w:pos="4707" w:leader="none"/>
        </w:tabs>
        <w:ind w:firstLine="709" w:left="0" w:right="0"/>
        <w:jc w:val="both"/>
        <w:rPr>
          <w:sz w:val="28"/>
        </w:rPr>
      </w:pPr>
      <w:r>
        <w:rPr>
          <w:b/>
          <w:sz w:val="28"/>
        </w:rPr>
        <w:t>Функции, права и обязанности председателя Комиссии.</w:t>
      </w:r>
    </w:p>
    <w:p>
      <w:pPr>
        <w:pStyle w:val="1111"/>
        <w:tabs>
          <w:tab w:val="clear" w:pos="709"/>
          <w:tab w:val="left" w:pos="851" w:leader="none"/>
          <w:tab w:val="left" w:pos="1134" w:leader="none"/>
          <w:tab w:val="left" w:pos="4707" w:leader="none"/>
        </w:tabs>
        <w:ind w:firstLine="709" w:left="0" w:right="0"/>
        <w:jc w:val="both"/>
        <w:rPr>
          <w:sz w:val="28"/>
        </w:rPr>
      </w:pPr>
      <w:r>
        <w:rPr>
          <w:sz w:val="28"/>
        </w:rPr>
        <w:t>Комиссию возглавляет председатель, который организует ее работу и несет ответственность за своевременный и точный перевод ответов участников экзамена на плоскопечатный шрифт и перенос их на бланки ответов.</w:t>
      </w:r>
    </w:p>
    <w:p>
      <w:pPr>
        <w:pStyle w:val="1111"/>
        <w:tabs>
          <w:tab w:val="clear" w:pos="709"/>
          <w:tab w:val="left" w:pos="851" w:leader="none"/>
          <w:tab w:val="left" w:pos="1134" w:leader="none"/>
          <w:tab w:val="left" w:pos="4707" w:leader="none"/>
        </w:tabs>
        <w:ind w:firstLine="709" w:left="0" w:right="0"/>
        <w:jc w:val="both"/>
        <w:rPr>
          <w:sz w:val="28"/>
        </w:rPr>
      </w:pPr>
      <w:r>
        <w:rPr>
          <w:sz w:val="28"/>
        </w:rPr>
        <w:t>Председатель Комиссии в рамках своей компетенции подчиняется председателю и заместителю председателя ГЭК.</w:t>
      </w:r>
    </w:p>
    <w:p>
      <w:pPr>
        <w:pStyle w:val="1111"/>
        <w:tabs>
          <w:tab w:val="clear" w:pos="709"/>
          <w:tab w:val="left" w:pos="851" w:leader="none"/>
          <w:tab w:val="left" w:pos="1134" w:leader="none"/>
          <w:tab w:val="left" w:pos="4707" w:leader="none"/>
        </w:tabs>
        <w:ind w:firstLine="709" w:left="0" w:right="0"/>
        <w:jc w:val="both"/>
        <w:rPr>
          <w:sz w:val="28"/>
        </w:rPr>
      </w:pPr>
      <w:r>
        <w:rPr>
          <w:sz w:val="28"/>
        </w:rPr>
        <w:t>Функции председателя Комиссии:</w:t>
      </w:r>
    </w:p>
    <w:p>
      <w:pPr>
        <w:pStyle w:val="1111"/>
        <w:tabs>
          <w:tab w:val="clear" w:pos="709"/>
          <w:tab w:val="left" w:pos="851" w:leader="none"/>
          <w:tab w:val="left" w:pos="1134" w:leader="none"/>
          <w:tab w:val="left" w:pos="4707" w:leader="none"/>
        </w:tabs>
        <w:ind w:firstLine="709" w:left="0" w:right="0"/>
        <w:jc w:val="both"/>
        <w:rPr>
          <w:sz w:val="28"/>
        </w:rPr>
      </w:pPr>
      <w:r>
        <w:rPr>
          <w:sz w:val="28"/>
        </w:rPr>
        <w:t>а) подбор кандидатур и представление состава тифлопереводчиков на согласование ГЭК</w:t>
      </w:r>
      <w:r>
        <w:rPr>
          <w:rStyle w:val="FootnoteReference"/>
          <w:sz w:val="28"/>
        </w:rPr>
        <w:footnoteReference w:id="26"/>
      </w:r>
      <w:r>
        <w:rPr>
          <w:sz w:val="28"/>
        </w:rPr>
        <w:t>;</w:t>
      </w:r>
    </w:p>
    <w:p>
      <w:pPr>
        <w:pStyle w:val="1111"/>
        <w:tabs>
          <w:tab w:val="clear" w:pos="709"/>
          <w:tab w:val="left" w:pos="851" w:leader="none"/>
          <w:tab w:val="left" w:pos="1134" w:leader="none"/>
          <w:tab w:val="left" w:pos="4707" w:leader="none"/>
        </w:tabs>
        <w:ind w:firstLine="709" w:left="0" w:right="0"/>
        <w:jc w:val="both"/>
        <w:rPr>
          <w:sz w:val="28"/>
        </w:rPr>
      </w:pPr>
      <w:r>
        <w:rPr>
          <w:sz w:val="28"/>
        </w:rPr>
        <w:t xml:space="preserve">б) распределение работ между тифлопереводчиками; </w:t>
      </w:r>
    </w:p>
    <w:p>
      <w:pPr>
        <w:pStyle w:val="1111"/>
        <w:tabs>
          <w:tab w:val="clear" w:pos="709"/>
          <w:tab w:val="left" w:pos="851" w:leader="none"/>
          <w:tab w:val="left" w:pos="1134" w:leader="none"/>
          <w:tab w:val="left" w:pos="4707" w:leader="none"/>
        </w:tabs>
        <w:ind w:firstLine="709" w:left="0" w:right="0"/>
        <w:jc w:val="both"/>
        <w:rPr>
          <w:sz w:val="28"/>
        </w:rPr>
      </w:pPr>
      <w:r>
        <w:rPr>
          <w:sz w:val="28"/>
        </w:rPr>
        <w:t>в) обеспечение своевременного и точного перевода;</w:t>
      </w:r>
    </w:p>
    <w:p>
      <w:pPr>
        <w:pStyle w:val="1111"/>
        <w:tabs>
          <w:tab w:val="clear" w:pos="709"/>
          <w:tab w:val="left" w:pos="851" w:leader="none"/>
          <w:tab w:val="left" w:pos="1134" w:leader="none"/>
          <w:tab w:val="left" w:pos="4707" w:leader="none"/>
        </w:tabs>
        <w:ind w:firstLine="709" w:left="0" w:right="0"/>
        <w:jc w:val="both"/>
        <w:rPr>
          <w:sz w:val="28"/>
        </w:rPr>
      </w:pPr>
      <w:r>
        <w:rPr>
          <w:sz w:val="28"/>
        </w:rPr>
        <w:t>г) обеспечение режима хранения и информационной безопасности при переводе работ, передача оригинальных экзаменационных работ, а также переведенных на плоскопечатный шрифт и перенесенных в бланки ответов организатору в аудитории (в случае, если Комиссия тифлопереводчиков работает в ППЭ), руководителю РЦОИ (в случае, если Комиссия тифлопереводчиков работает в РЦОИ);</w:t>
      </w:r>
    </w:p>
    <w:p>
      <w:pPr>
        <w:pStyle w:val="1111"/>
        <w:tabs>
          <w:tab w:val="clear" w:pos="709"/>
          <w:tab w:val="left" w:pos="851" w:leader="none"/>
          <w:tab w:val="left" w:pos="1134" w:leader="none"/>
          <w:tab w:val="left" w:pos="4707" w:leader="none"/>
        </w:tabs>
        <w:ind w:firstLine="709" w:left="0" w:right="0"/>
        <w:jc w:val="both"/>
        <w:rPr>
          <w:sz w:val="28"/>
        </w:rPr>
      </w:pPr>
      <w:r>
        <w:rPr>
          <w:sz w:val="28"/>
        </w:rPr>
        <w:t>д) информирование ГЭК о ходе перевода экзаменационных работ и возникновении проблемных ситуаций.</w:t>
      </w:r>
    </w:p>
    <w:p>
      <w:pPr>
        <w:pStyle w:val="1111"/>
        <w:tabs>
          <w:tab w:val="clear" w:pos="709"/>
          <w:tab w:val="left" w:pos="851" w:leader="none"/>
          <w:tab w:val="left" w:pos="1134" w:leader="none"/>
          <w:tab w:val="left" w:pos="4707" w:leader="none"/>
        </w:tabs>
        <w:ind w:firstLine="709" w:left="0" w:right="0"/>
        <w:jc w:val="both"/>
        <w:rPr>
          <w:sz w:val="28"/>
        </w:rPr>
      </w:pPr>
      <w:r>
        <w:rPr>
          <w:b/>
          <w:sz w:val="28"/>
        </w:rPr>
        <w:t>Председатель Комиссии вправе:</w:t>
      </w:r>
    </w:p>
    <w:p>
      <w:pPr>
        <w:pStyle w:val="1111"/>
        <w:tabs>
          <w:tab w:val="clear" w:pos="709"/>
          <w:tab w:val="left" w:pos="851" w:leader="none"/>
          <w:tab w:val="left" w:pos="1134" w:leader="none"/>
          <w:tab w:val="left" w:pos="4707" w:leader="none"/>
        </w:tabs>
        <w:ind w:firstLine="709" w:left="0" w:right="0"/>
        <w:jc w:val="both"/>
        <w:rPr>
          <w:sz w:val="28"/>
        </w:rPr>
      </w:pPr>
      <w:r>
        <w:rPr>
          <w:sz w:val="28"/>
        </w:rPr>
        <w:t>а) давать указания тифлопереводчикам в рамках своих полномочий;</w:t>
      </w:r>
    </w:p>
    <w:p>
      <w:pPr>
        <w:pStyle w:val="1111"/>
        <w:tabs>
          <w:tab w:val="clear" w:pos="709"/>
          <w:tab w:val="left" w:pos="851" w:leader="none"/>
          <w:tab w:val="left" w:pos="1134" w:leader="none"/>
          <w:tab w:val="left" w:pos="4707" w:leader="none"/>
        </w:tabs>
        <w:ind w:firstLine="709" w:left="0" w:right="0"/>
        <w:jc w:val="both"/>
        <w:rPr>
          <w:sz w:val="28"/>
        </w:rPr>
      </w:pPr>
      <w:r>
        <w:rPr>
          <w:sz w:val="28"/>
        </w:rPr>
        <w:t>б) отстранять по согласованию с ГЭК тифлопереводчиков от участия в работе Комиссии в случае возникновения конфликтных ситуаций;</w:t>
      </w:r>
    </w:p>
    <w:p>
      <w:pPr>
        <w:pStyle w:val="1111"/>
        <w:tabs>
          <w:tab w:val="clear" w:pos="709"/>
          <w:tab w:val="left" w:pos="851" w:leader="none"/>
          <w:tab w:val="left" w:pos="1134" w:leader="none"/>
          <w:tab w:val="left" w:pos="4707" w:leader="none"/>
        </w:tabs>
        <w:ind w:firstLine="709" w:left="0" w:right="0"/>
        <w:jc w:val="both"/>
        <w:rPr>
          <w:sz w:val="28"/>
        </w:rPr>
      </w:pPr>
      <w:r>
        <w:rPr>
          <w:sz w:val="28"/>
        </w:rPr>
        <w:t>в) принимать по согласованию с ГЭК решения по организации работы Комиссии в случае возникновения форс-мажорных ситуаций и иных непредвиденных обстоятельств, препятствующих продолжению работы Комиссии.</w:t>
      </w:r>
    </w:p>
    <w:p>
      <w:pPr>
        <w:pStyle w:val="1111"/>
        <w:tabs>
          <w:tab w:val="clear" w:pos="709"/>
          <w:tab w:val="left" w:pos="851" w:leader="none"/>
          <w:tab w:val="left" w:pos="1134" w:leader="none"/>
          <w:tab w:val="left" w:pos="4707" w:leader="none"/>
        </w:tabs>
        <w:ind w:firstLine="709" w:left="0" w:right="0"/>
        <w:jc w:val="both"/>
        <w:rPr>
          <w:sz w:val="28"/>
        </w:rPr>
      </w:pPr>
      <w:r>
        <w:rPr>
          <w:b/>
          <w:sz w:val="28"/>
        </w:rPr>
        <w:t>Председатель Комиссии обязан:</w:t>
      </w:r>
    </w:p>
    <w:p>
      <w:pPr>
        <w:pStyle w:val="1111"/>
        <w:tabs>
          <w:tab w:val="clear" w:pos="709"/>
          <w:tab w:val="left" w:pos="851" w:leader="none"/>
          <w:tab w:val="left" w:pos="1134" w:leader="none"/>
          <w:tab w:val="left" w:pos="4707" w:leader="none"/>
        </w:tabs>
        <w:ind w:firstLine="709" w:left="0" w:right="0"/>
        <w:jc w:val="both"/>
        <w:rPr>
          <w:sz w:val="28"/>
        </w:rPr>
      </w:pPr>
      <w:r>
        <w:rPr>
          <w:sz w:val="28"/>
        </w:rPr>
        <w:t>а) выполнять возложенные на него функции в соответствии с настоящим Положением;</w:t>
      </w:r>
    </w:p>
    <w:p>
      <w:pPr>
        <w:pStyle w:val="1111"/>
        <w:tabs>
          <w:tab w:val="clear" w:pos="709"/>
          <w:tab w:val="left" w:pos="851" w:leader="none"/>
          <w:tab w:val="left" w:pos="1134" w:leader="none"/>
          <w:tab w:val="left" w:pos="4707" w:leader="none"/>
        </w:tabs>
        <w:ind w:firstLine="709" w:left="0" w:right="0"/>
        <w:jc w:val="both"/>
        <w:rPr>
          <w:sz w:val="28"/>
        </w:rPr>
      </w:pPr>
      <w:r>
        <w:rPr>
          <w:sz w:val="28"/>
        </w:rPr>
        <w:t>б) соблюдать требования законодательных и иных нормативных правовых документов, регламентирующих порядок проведения ГИА;</w:t>
      </w:r>
    </w:p>
    <w:p>
      <w:pPr>
        <w:pStyle w:val="1111"/>
        <w:tabs>
          <w:tab w:val="clear" w:pos="709"/>
          <w:tab w:val="left" w:pos="851" w:leader="none"/>
          <w:tab w:val="left" w:pos="1134" w:leader="none"/>
          <w:tab w:val="left" w:pos="4707" w:leader="none"/>
        </w:tabs>
        <w:ind w:firstLine="709" w:left="0" w:right="0"/>
        <w:jc w:val="both"/>
        <w:rPr>
          <w:sz w:val="28"/>
        </w:rPr>
      </w:pPr>
      <w:r>
        <w:rPr>
          <w:sz w:val="28"/>
        </w:rPr>
        <w:t>в) обеспечить соблюдение конфиденциальности и режима информационной безопасности при переводе, хранении экзаменационных работ;</w:t>
      </w:r>
    </w:p>
    <w:p>
      <w:pPr>
        <w:pStyle w:val="1111"/>
        <w:tabs>
          <w:tab w:val="clear" w:pos="709"/>
          <w:tab w:val="left" w:pos="851" w:leader="none"/>
          <w:tab w:val="left" w:pos="1134" w:leader="none"/>
          <w:tab w:val="left" w:pos="4707" w:leader="none"/>
        </w:tabs>
        <w:ind w:firstLine="709" w:left="0" w:right="0"/>
        <w:jc w:val="both"/>
        <w:rPr>
          <w:sz w:val="28"/>
        </w:rPr>
      </w:pPr>
      <w:r>
        <w:rPr>
          <w:sz w:val="28"/>
        </w:rPr>
        <w:t>г) своевременно информировать ГЭК о возникающих проблемах и трудностях, которые могут привести к нарушению сроков перевода.</w:t>
      </w:r>
    </w:p>
    <w:p>
      <w:pPr>
        <w:pStyle w:val="1111"/>
        <w:numPr>
          <w:ilvl w:val="0"/>
          <w:numId w:val="10"/>
        </w:numPr>
        <w:tabs>
          <w:tab w:val="clear" w:pos="709"/>
          <w:tab w:val="left" w:pos="851" w:leader="none"/>
          <w:tab w:val="left" w:pos="1134" w:leader="none"/>
          <w:tab w:val="left" w:pos="4707" w:leader="none"/>
        </w:tabs>
        <w:ind w:firstLine="709" w:left="0" w:right="0"/>
        <w:jc w:val="both"/>
        <w:rPr>
          <w:sz w:val="28"/>
        </w:rPr>
      </w:pPr>
      <w:r>
        <w:rPr>
          <w:b/>
          <w:sz w:val="28"/>
        </w:rPr>
        <w:t>Функции, заместителя председателя Комиссии.</w:t>
      </w:r>
    </w:p>
    <w:p>
      <w:pPr>
        <w:pStyle w:val="1111"/>
        <w:tabs>
          <w:tab w:val="clear" w:pos="709"/>
          <w:tab w:val="left" w:pos="851" w:leader="none"/>
          <w:tab w:val="left" w:pos="1134" w:leader="none"/>
          <w:tab w:val="left" w:pos="4707" w:leader="none"/>
        </w:tabs>
        <w:ind w:firstLine="709" w:left="0" w:right="0"/>
        <w:jc w:val="both"/>
        <w:rPr>
          <w:sz w:val="28"/>
        </w:rPr>
      </w:pPr>
      <w:r>
        <w:rPr>
          <w:sz w:val="28"/>
        </w:rPr>
        <w:t>Заместитель председателя Комиссии выполняет функции председателя Комиссии в случае его отсутствия.</w:t>
      </w:r>
    </w:p>
    <w:p>
      <w:pPr>
        <w:pStyle w:val="1111"/>
        <w:numPr>
          <w:ilvl w:val="0"/>
          <w:numId w:val="10"/>
        </w:numPr>
        <w:tabs>
          <w:tab w:val="clear" w:pos="709"/>
          <w:tab w:val="left" w:pos="851" w:leader="none"/>
          <w:tab w:val="left" w:pos="1134" w:leader="none"/>
          <w:tab w:val="left" w:pos="4707" w:leader="none"/>
        </w:tabs>
        <w:ind w:firstLine="709" w:left="0" w:right="0"/>
        <w:jc w:val="both"/>
        <w:rPr>
          <w:sz w:val="28"/>
        </w:rPr>
      </w:pPr>
      <w:r>
        <w:rPr>
          <w:b/>
          <w:sz w:val="28"/>
        </w:rPr>
        <w:t>Функции, права и обязанности тифлопереводчика.</w:t>
      </w:r>
    </w:p>
    <w:p>
      <w:pPr>
        <w:pStyle w:val="1111"/>
        <w:tabs>
          <w:tab w:val="clear" w:pos="709"/>
          <w:tab w:val="left" w:pos="851" w:leader="none"/>
          <w:tab w:val="left" w:pos="1134" w:leader="none"/>
          <w:tab w:val="left" w:pos="4707" w:leader="none"/>
        </w:tabs>
        <w:ind w:hanging="0" w:left="709" w:right="0"/>
        <w:jc w:val="both"/>
        <w:rPr>
          <w:sz w:val="28"/>
        </w:rPr>
      </w:pPr>
      <w:r>
        <w:rPr>
          <w:b/>
          <w:sz w:val="28"/>
        </w:rPr>
        <w:t>Тифлопереводчик должен:</w:t>
      </w:r>
    </w:p>
    <w:p>
      <w:pPr>
        <w:pStyle w:val="1111"/>
        <w:tabs>
          <w:tab w:val="clear" w:pos="709"/>
          <w:tab w:val="left" w:pos="851" w:leader="none"/>
          <w:tab w:val="left" w:pos="1134" w:leader="none"/>
          <w:tab w:val="left" w:pos="4707" w:leader="none"/>
        </w:tabs>
        <w:ind w:firstLine="709" w:left="0" w:right="0"/>
        <w:jc w:val="both"/>
        <w:rPr>
          <w:sz w:val="28"/>
        </w:rPr>
      </w:pPr>
      <w:r>
        <w:rPr>
          <w:sz w:val="28"/>
        </w:rPr>
        <w:t>а) переносить ответ, записанный слепым, поздноослепшим, слабовидящим участником экзамена, владеющим шрифтом Брайля, в специальной тетради для записи ответов шрифтом Брайля, в бланки ответов, ДБО плоскопечатным шрифтом, точно скопировав авторскую орфографию, пунктуацию и стилистику;</w:t>
      </w:r>
    </w:p>
    <w:p>
      <w:pPr>
        <w:pStyle w:val="1111"/>
        <w:tabs>
          <w:tab w:val="clear" w:pos="709"/>
          <w:tab w:val="left" w:pos="851" w:leader="none"/>
          <w:tab w:val="left" w:pos="1134" w:leader="none"/>
          <w:tab w:val="left" w:pos="4707" w:leader="none"/>
        </w:tabs>
        <w:ind w:firstLine="709" w:left="0" w:right="0"/>
        <w:jc w:val="both"/>
        <w:rPr>
          <w:sz w:val="28"/>
        </w:rPr>
      </w:pPr>
      <w:r>
        <w:rPr>
          <w:sz w:val="28"/>
        </w:rPr>
        <w:t>б) учитывать, что участники экзаменов записывают ответы, располагая каждый ответ на отдельной строке. Строка-ответ содержит номер задания и номер ответа. При необходимости неверный ответ закалывается шестью точками. В качестве правильного ответа засчитывается последний ответ в строке. В случае повторного ответа на задание засчитывается последний ответ. Сочинение записывается, начиная с новой страницы специальной тетради для записи ответов;</w:t>
      </w:r>
    </w:p>
    <w:p>
      <w:pPr>
        <w:pStyle w:val="1111"/>
        <w:tabs>
          <w:tab w:val="clear" w:pos="709"/>
          <w:tab w:val="left" w:pos="851" w:leader="none"/>
          <w:tab w:val="left" w:pos="1134" w:leader="none"/>
          <w:tab w:val="left" w:pos="4707" w:leader="none"/>
        </w:tabs>
        <w:ind w:firstLine="709" w:left="0" w:right="0"/>
        <w:jc w:val="both"/>
        <w:rPr>
          <w:sz w:val="28"/>
        </w:rPr>
      </w:pPr>
      <w:r>
        <w:rPr>
          <w:sz w:val="28"/>
        </w:rPr>
        <w:t>в) в случае принятия Министерством решения об организации работы Комиссии тифлопереводчиков в аудитории проведения экзамена в ППЭ после окончания экзамена при нехватке места на бланке ответов обратиться к организатору в аудитории, который выдаст ему ДБО в соответствии со схемой выдачи таких бланков в зависимости от формы экзамена. В случае принятия Министерством решения об организации работы Комиссии тифлопереводчиков в РЦОИ – ДБО выдается руководителем РЦОИ.</w:t>
      </w:r>
    </w:p>
    <w:p>
      <w:pPr>
        <w:pStyle w:val="1111"/>
        <w:tabs>
          <w:tab w:val="clear" w:pos="709"/>
          <w:tab w:val="left" w:pos="851" w:leader="none"/>
          <w:tab w:val="left" w:pos="1134" w:leader="none"/>
          <w:tab w:val="left" w:pos="4707" w:leader="none"/>
        </w:tabs>
        <w:ind w:firstLine="709" w:left="0" w:right="0"/>
        <w:jc w:val="both"/>
        <w:rPr>
          <w:sz w:val="28"/>
        </w:rPr>
      </w:pPr>
      <w:r>
        <w:rPr>
          <w:sz w:val="28"/>
        </w:rPr>
        <w:t>г) соблюдать конфиденциальность и установленный порядок обеспечения информационной безопасности;</w:t>
      </w:r>
    </w:p>
    <w:p>
      <w:pPr>
        <w:pStyle w:val="1111"/>
        <w:tabs>
          <w:tab w:val="clear" w:pos="709"/>
          <w:tab w:val="left" w:pos="851" w:leader="none"/>
          <w:tab w:val="left" w:pos="1134" w:leader="none"/>
          <w:tab w:val="left" w:pos="4707" w:leader="none"/>
        </w:tabs>
        <w:ind w:firstLine="709" w:left="0" w:right="0"/>
        <w:jc w:val="both"/>
        <w:rPr>
          <w:sz w:val="28"/>
        </w:rPr>
      </w:pPr>
      <w:r>
        <w:rPr>
          <w:sz w:val="28"/>
        </w:rPr>
        <w:t xml:space="preserve">д) профессионально выполнять возложенные функции; </w:t>
      </w:r>
    </w:p>
    <w:p>
      <w:pPr>
        <w:pStyle w:val="1111"/>
        <w:tabs>
          <w:tab w:val="clear" w:pos="709"/>
          <w:tab w:val="left" w:pos="851" w:leader="none"/>
          <w:tab w:val="left" w:pos="1134" w:leader="none"/>
          <w:tab w:val="left" w:pos="4707" w:leader="none"/>
        </w:tabs>
        <w:ind w:firstLine="709" w:left="0" w:right="0"/>
        <w:jc w:val="both"/>
        <w:rPr>
          <w:sz w:val="28"/>
        </w:rPr>
      </w:pPr>
      <w:r>
        <w:rPr>
          <w:sz w:val="28"/>
        </w:rPr>
        <w:t>е) соблюдать этические и моральные нормы;</w:t>
      </w:r>
    </w:p>
    <w:p>
      <w:pPr>
        <w:pStyle w:val="1111"/>
        <w:tabs>
          <w:tab w:val="clear" w:pos="709"/>
          <w:tab w:val="left" w:pos="851" w:leader="none"/>
          <w:tab w:val="left" w:pos="1134" w:leader="none"/>
          <w:tab w:val="left" w:pos="4707" w:leader="none"/>
        </w:tabs>
        <w:ind w:firstLine="709" w:left="0" w:right="0"/>
        <w:jc w:val="both"/>
        <w:rPr>
          <w:sz w:val="28"/>
        </w:rPr>
      </w:pPr>
      <w:r>
        <w:rPr>
          <w:sz w:val="28"/>
        </w:rPr>
        <w:t>ж) информировать председателя Комиссии о проблемах, возникающих при переводе.</w:t>
      </w:r>
    </w:p>
    <w:p>
      <w:pPr>
        <w:pStyle w:val="1111"/>
        <w:tabs>
          <w:tab w:val="clear" w:pos="709"/>
          <w:tab w:val="left" w:pos="851" w:leader="none"/>
          <w:tab w:val="left" w:pos="1134" w:leader="none"/>
          <w:tab w:val="left" w:pos="4707" w:leader="none"/>
        </w:tabs>
        <w:ind w:firstLine="709" w:left="0" w:right="0"/>
        <w:jc w:val="both"/>
        <w:rPr>
          <w:sz w:val="28"/>
        </w:rPr>
      </w:pPr>
      <w:r>
        <w:rPr>
          <w:sz w:val="28"/>
        </w:rPr>
        <w:t>Тифлопереводчик может быть исключен из состава Комиссии в случаях:</w:t>
      </w:r>
    </w:p>
    <w:p>
      <w:pPr>
        <w:pStyle w:val="1111"/>
        <w:tabs>
          <w:tab w:val="clear" w:pos="709"/>
          <w:tab w:val="left" w:pos="851" w:leader="none"/>
          <w:tab w:val="left" w:pos="1134" w:leader="none"/>
          <w:tab w:val="left" w:pos="4707" w:leader="none"/>
        </w:tabs>
        <w:ind w:firstLine="709" w:left="0" w:right="0"/>
        <w:jc w:val="both"/>
        <w:rPr>
          <w:sz w:val="28"/>
        </w:rPr>
      </w:pPr>
      <w:r>
        <w:rPr>
          <w:sz w:val="28"/>
        </w:rPr>
        <w:t xml:space="preserve">а) предоставления о себе недостоверных сведений; </w:t>
      </w:r>
    </w:p>
    <w:p>
      <w:pPr>
        <w:pStyle w:val="1111"/>
        <w:tabs>
          <w:tab w:val="clear" w:pos="709"/>
          <w:tab w:val="left" w:pos="851" w:leader="none"/>
          <w:tab w:val="left" w:pos="1134" w:leader="none"/>
          <w:tab w:val="left" w:pos="4707" w:leader="none"/>
        </w:tabs>
        <w:ind w:firstLine="709" w:left="0" w:right="0"/>
        <w:jc w:val="both"/>
        <w:rPr>
          <w:sz w:val="28"/>
        </w:rPr>
      </w:pPr>
      <w:r>
        <w:rPr>
          <w:sz w:val="28"/>
        </w:rPr>
        <w:t>б) утери документов;</w:t>
      </w:r>
    </w:p>
    <w:p>
      <w:pPr>
        <w:pStyle w:val="1111"/>
        <w:tabs>
          <w:tab w:val="clear" w:pos="709"/>
          <w:tab w:val="left" w:pos="851" w:leader="none"/>
          <w:tab w:val="left" w:pos="1134" w:leader="none"/>
          <w:tab w:val="left" w:pos="4707" w:leader="none"/>
        </w:tabs>
        <w:ind w:firstLine="709" w:left="0" w:right="0"/>
        <w:jc w:val="both"/>
        <w:rPr>
          <w:sz w:val="28"/>
        </w:rPr>
      </w:pPr>
      <w:r>
        <w:rPr>
          <w:sz w:val="28"/>
        </w:rPr>
        <w:t>в) изменения содержания ответов участника экзамена информацией, которая может явиться причиной искажения результатов экзамена;</w:t>
      </w:r>
    </w:p>
    <w:p>
      <w:pPr>
        <w:pStyle w:val="1111"/>
        <w:tabs>
          <w:tab w:val="clear" w:pos="709"/>
          <w:tab w:val="left" w:pos="851" w:leader="none"/>
          <w:tab w:val="left" w:pos="4707" w:leader="none"/>
        </w:tabs>
        <w:ind w:firstLine="709" w:left="0" w:right="0"/>
        <w:jc w:val="both"/>
        <w:rPr>
          <w:sz w:val="28"/>
        </w:rPr>
      </w:pPr>
      <w:r>
        <w:rPr>
          <w:sz w:val="28"/>
        </w:rPr>
        <w:t>г) неисполнения или ненадлежащего исполнения возложенных на него обязанностей.</w:t>
      </w:r>
    </w:p>
    <w:p>
      <w:pPr>
        <w:pStyle w:val="1111"/>
        <w:tabs>
          <w:tab w:val="clear" w:pos="709"/>
          <w:tab w:val="left" w:pos="851" w:leader="none"/>
          <w:tab w:val="left" w:pos="4707" w:leader="none"/>
        </w:tabs>
        <w:ind w:firstLine="709" w:left="0" w:right="0"/>
        <w:jc w:val="both"/>
        <w:rPr>
          <w:sz w:val="28"/>
        </w:rPr>
      </w:pPr>
      <w:r>
        <w:rPr>
          <w:sz w:val="28"/>
        </w:rPr>
        <w:t>Решение об исключении тифлопереводчика из состава Комиссии принимается ГЭК на основании аргументированного представления председателя Комиссии.</w:t>
      </w:r>
    </w:p>
    <w:p>
      <w:pPr>
        <w:pStyle w:val="1111"/>
        <w:tabs>
          <w:tab w:val="clear" w:pos="709"/>
          <w:tab w:val="left" w:pos="851" w:leader="none"/>
          <w:tab w:val="left" w:pos="4707" w:leader="none"/>
        </w:tabs>
        <w:ind w:firstLine="709" w:left="0" w:right="0"/>
        <w:jc w:val="both"/>
        <w:rPr>
          <w:sz w:val="28"/>
        </w:rPr>
      </w:pPr>
      <w:r>
        <w:rPr>
          <w:sz w:val="28"/>
        </w:rPr>
        <w:t>В случае неисполнения или ненадлежащего исполнения возложенных на них обязанностей, несоблюдения требований нормативных правовых актов, нарушения требований конфиденциальности и информационной безопасности, а также злоупотребления установленными полномочиями, совершенными из корыстной или иной личной заинтересованности, члены Комиссии привлекаются к ответственности в установленном законодательством Российской Федерации порядке.</w:t>
      </w:r>
    </w:p>
    <w:p>
      <w:pPr>
        <w:pStyle w:val="1111"/>
        <w:tabs>
          <w:tab w:val="clear" w:pos="709"/>
          <w:tab w:val="left" w:pos="4707" w:leader="none"/>
        </w:tabs>
        <w:ind w:firstLine="709" w:left="0" w:right="0"/>
        <w:jc w:val="both"/>
        <w:rPr>
          <w:sz w:val="28"/>
        </w:rPr>
      </w:pPr>
      <w:r>
        <w:rPr>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r>
        <w:br w:type="page"/>
      </w:r>
    </w:p>
    <w:p>
      <w:pPr>
        <w:pStyle w:val="Heading1"/>
        <w:spacing w:before="0" w:after="0"/>
        <w:jc w:val="right"/>
        <w:rPr/>
      </w:pPr>
      <w:bookmarkStart w:id="36" w:name="__RefHeading___12"/>
      <w:bookmarkStart w:id="37" w:name="bookmark40"/>
      <w:bookmarkStart w:id="38" w:name="bookmark38"/>
      <w:bookmarkStart w:id="39" w:name="bookmark39"/>
      <w:bookmarkEnd w:id="36"/>
      <w:bookmarkEnd w:id="37"/>
      <w:bookmarkEnd w:id="38"/>
      <w:bookmarkEnd w:id="39"/>
      <w:r>
        <w:rPr/>
        <w:t xml:space="preserve">Приложение 2. </w:t>
      </w:r>
    </w:p>
    <w:p>
      <w:pPr>
        <w:pStyle w:val="BodyText"/>
        <w:jc w:val="center"/>
        <w:rPr>
          <w:b/>
          <w:sz w:val="28"/>
        </w:rPr>
      </w:pPr>
      <w:r>
        <w:rPr>
          <w:b/>
          <w:sz w:val="28"/>
        </w:rPr>
      </w:r>
    </w:p>
    <w:p>
      <w:pPr>
        <w:pStyle w:val="BodyText"/>
        <w:jc w:val="center"/>
        <w:rPr>
          <w:b/>
          <w:sz w:val="28"/>
        </w:rPr>
      </w:pPr>
      <w:bookmarkStart w:id="40" w:name="__RefHeading___Toc158701_1129503340"/>
      <w:bookmarkEnd w:id="40"/>
      <w:r>
        <w:rPr>
          <w:b/>
          <w:sz w:val="28"/>
        </w:rPr>
        <w:t xml:space="preserve">Памятка для ассистентов слепых, поздноослепших и слабовидящих участников экзаменов по заполнению шрифтом Брайля специальных тетрадей для ответов </w:t>
      </w:r>
    </w:p>
    <w:p>
      <w:pPr>
        <w:pStyle w:val="1111"/>
        <w:tabs>
          <w:tab w:val="clear" w:pos="709"/>
          <w:tab w:val="left" w:pos="851" w:leader="none"/>
          <w:tab w:val="left" w:pos="1134" w:leader="none"/>
          <w:tab w:val="left" w:pos="4707" w:leader="none"/>
        </w:tabs>
        <w:ind w:firstLine="709" w:left="0" w:right="0"/>
        <w:jc w:val="both"/>
        <w:rPr>
          <w:sz w:val="28"/>
        </w:rPr>
      </w:pPr>
      <w:r>
        <w:rPr>
          <w:sz w:val="28"/>
        </w:rPr>
        <w:t>Памятка для слепых, поздноослепших и слабовидящих участников экзаменов по заполнению шрифтом Брайля специальных тетрадей для записи ответов зачитывается участникам экзамена организаторами в аудитории перед экзаменом и выдается участникам экзаменов (ассистентам).</w:t>
      </w:r>
    </w:p>
    <w:p>
      <w:pPr>
        <w:pStyle w:val="BodyText"/>
        <w:ind w:firstLine="708" w:left="0" w:right="104"/>
        <w:jc w:val="both"/>
        <w:rPr>
          <w:sz w:val="28"/>
        </w:rPr>
      </w:pPr>
      <w:r>
        <w:rPr>
          <w:color w:val="000000"/>
          <w:sz w:val="28"/>
        </w:rPr>
        <w:t>Информация из данной памятки доступна участнику экзамена в виде Инструкции по заполнению тетради для записи ответов. Там же указаны особенности оформления экзаменационной работы по конкретному учебному предмету. Эта инструкция размещена в брошюре с КИМ сразу после Инструкции по выполнению работы.</w:t>
      </w:r>
    </w:p>
    <w:p>
      <w:pPr>
        <w:pStyle w:val="1111"/>
        <w:numPr>
          <w:ilvl w:val="0"/>
          <w:numId w:val="11"/>
        </w:numPr>
        <w:tabs>
          <w:tab w:val="clear" w:pos="709"/>
          <w:tab w:val="left" w:pos="851" w:leader="none"/>
          <w:tab w:val="left" w:pos="1134" w:leader="none"/>
          <w:tab w:val="left" w:pos="4707" w:leader="none"/>
        </w:tabs>
        <w:ind w:firstLine="709" w:left="0" w:right="0"/>
        <w:jc w:val="both"/>
        <w:rPr>
          <w:sz w:val="28"/>
        </w:rPr>
      </w:pPr>
      <w:r>
        <w:rPr>
          <w:sz w:val="28"/>
        </w:rPr>
        <w:t>Ассистент вписывает в верхней части титульного листа тетради для ответов ФИО и данные участника экзамена из документа, удостоверяющего его личность;</w:t>
      </w:r>
    </w:p>
    <w:p>
      <w:pPr>
        <w:pStyle w:val="1111"/>
        <w:numPr>
          <w:ilvl w:val="0"/>
          <w:numId w:val="11"/>
        </w:numPr>
        <w:tabs>
          <w:tab w:val="clear" w:pos="709"/>
          <w:tab w:val="left" w:pos="851" w:leader="none"/>
          <w:tab w:val="left" w:pos="1134" w:leader="none"/>
          <w:tab w:val="left" w:pos="4707" w:leader="none"/>
        </w:tabs>
        <w:ind w:firstLine="709" w:left="0" w:right="0"/>
        <w:jc w:val="both"/>
        <w:rPr>
          <w:sz w:val="28"/>
        </w:rPr>
      </w:pPr>
      <w:r>
        <w:rPr>
          <w:sz w:val="28"/>
        </w:rPr>
        <w:t>Участник экзамена с использованием прибора и грифеля для письма по Брайлю или печатной брайлевской машинки пишет в тетради для ответов на первом листе после титульного листа, отпечатанного шрифтом Брайля, фамилию (с новой строки), имя (с новой строки), отчество (с новой строки) (при наличии), серию и номер документа, удостоверяющего личность (паспорта) (с новой строки).</w:t>
      </w:r>
    </w:p>
    <w:p>
      <w:pPr>
        <w:pStyle w:val="1111"/>
        <w:numPr>
          <w:ilvl w:val="0"/>
          <w:numId w:val="11"/>
        </w:numPr>
        <w:tabs>
          <w:tab w:val="clear" w:pos="709"/>
          <w:tab w:val="left" w:pos="851" w:leader="none"/>
          <w:tab w:val="left" w:pos="1134" w:leader="none"/>
          <w:tab w:val="left" w:pos="4707" w:leader="none"/>
        </w:tabs>
        <w:ind w:firstLine="709" w:left="0" w:right="0"/>
        <w:jc w:val="both"/>
        <w:rPr>
          <w:sz w:val="28"/>
        </w:rPr>
      </w:pPr>
      <w:r>
        <w:rPr>
          <w:sz w:val="28"/>
        </w:rPr>
        <w:t>Ответы пишутся с одной стороны листа, начиная со второго листа после титульного листа, отпечатанного шрифтом Брайля.</w:t>
      </w:r>
    </w:p>
    <w:p>
      <w:pPr>
        <w:pStyle w:val="1111"/>
        <w:numPr>
          <w:ilvl w:val="0"/>
          <w:numId w:val="11"/>
        </w:numPr>
        <w:tabs>
          <w:tab w:val="clear" w:pos="709"/>
          <w:tab w:val="left" w:pos="851" w:leader="none"/>
          <w:tab w:val="left" w:pos="1134" w:leader="none"/>
          <w:tab w:val="left" w:pos="4707" w:leader="none"/>
        </w:tabs>
        <w:ind w:firstLine="709" w:left="0" w:right="0"/>
        <w:jc w:val="both"/>
        <w:rPr>
          <w:sz w:val="28"/>
        </w:rPr>
      </w:pPr>
      <w:r>
        <w:rPr>
          <w:sz w:val="28"/>
        </w:rPr>
        <w:t>При выполнении заданий с кратким ответом необходимо записать номер задания и ответ, располагая каждый ответ на отдельной строке. Если одной строки недостаточно для записи ответа, нужно продолжить запись на следующей строке.</w:t>
      </w:r>
    </w:p>
    <w:p>
      <w:pPr>
        <w:pStyle w:val="1111"/>
        <w:numPr>
          <w:ilvl w:val="0"/>
          <w:numId w:val="11"/>
        </w:numPr>
        <w:tabs>
          <w:tab w:val="clear" w:pos="709"/>
          <w:tab w:val="left" w:pos="851" w:leader="none"/>
          <w:tab w:val="left" w:pos="1134" w:leader="none"/>
          <w:tab w:val="left" w:pos="4707" w:leader="none"/>
        </w:tabs>
        <w:ind w:firstLine="709" w:left="0" w:right="0"/>
        <w:jc w:val="both"/>
        <w:rPr>
          <w:sz w:val="28"/>
        </w:rPr>
      </w:pPr>
      <w:r>
        <w:rPr>
          <w:sz w:val="28"/>
        </w:rPr>
        <w:t>Между номером задания и ответом необходимо оставить интервал (пропустить одну клетку).</w:t>
      </w:r>
    </w:p>
    <w:p>
      <w:pPr>
        <w:pStyle w:val="1111"/>
        <w:numPr>
          <w:ilvl w:val="0"/>
          <w:numId w:val="11"/>
        </w:numPr>
        <w:tabs>
          <w:tab w:val="clear" w:pos="709"/>
          <w:tab w:val="left" w:pos="851" w:leader="none"/>
          <w:tab w:val="left" w:pos="1134" w:leader="none"/>
          <w:tab w:val="left" w:pos="4707" w:leader="none"/>
        </w:tabs>
        <w:ind w:firstLine="709" w:left="0" w:right="0"/>
        <w:jc w:val="both"/>
        <w:rPr>
          <w:sz w:val="28"/>
        </w:rPr>
      </w:pPr>
      <w:r>
        <w:rPr>
          <w:sz w:val="28"/>
        </w:rPr>
        <w:t>Если ответом должно быть слово, то нужно писать его в той форме, в которой данное слово стоит в предложении или указано в задании.</w:t>
      </w:r>
    </w:p>
    <w:p>
      <w:pPr>
        <w:pStyle w:val="1111"/>
        <w:numPr>
          <w:ilvl w:val="0"/>
          <w:numId w:val="11"/>
        </w:numPr>
        <w:tabs>
          <w:tab w:val="clear" w:pos="709"/>
          <w:tab w:val="left" w:pos="851" w:leader="none"/>
          <w:tab w:val="left" w:pos="1134" w:leader="none"/>
          <w:tab w:val="left" w:pos="4707" w:leader="none"/>
        </w:tabs>
        <w:ind w:firstLine="709" w:left="0" w:right="0"/>
        <w:jc w:val="both"/>
        <w:rPr>
          <w:sz w:val="28"/>
        </w:rPr>
      </w:pPr>
      <w:r>
        <w:rPr>
          <w:sz w:val="28"/>
        </w:rPr>
        <w:t>Все последовательности цифр и сочетания слов, являющиеся краткими ответами на задания, записываются в соответствии с образцами ответов, помещенными в Инструкции по выполнению работы, – без пробелов, запятых и других дополнительных символов. Цифры пишутся с цифровыми знаками.</w:t>
      </w:r>
    </w:p>
    <w:p>
      <w:pPr>
        <w:pStyle w:val="1111"/>
        <w:numPr>
          <w:ilvl w:val="0"/>
          <w:numId w:val="11"/>
        </w:numPr>
        <w:tabs>
          <w:tab w:val="clear" w:pos="709"/>
          <w:tab w:val="left" w:pos="851" w:leader="none"/>
          <w:tab w:val="left" w:pos="1134" w:leader="none"/>
          <w:tab w:val="left" w:pos="4707" w:leader="none"/>
        </w:tabs>
        <w:ind w:firstLine="709" w:left="0" w:right="0"/>
        <w:jc w:val="both"/>
        <w:rPr>
          <w:sz w:val="28"/>
        </w:rPr>
      </w:pPr>
      <w:r>
        <w:rPr>
          <w:sz w:val="28"/>
        </w:rPr>
        <w:t>Ответы на задания с развернутыми ответами записываются, начиная с новой страницы тетради для ответов.</w:t>
      </w:r>
    </w:p>
    <w:p>
      <w:pPr>
        <w:pStyle w:val="1111"/>
        <w:numPr>
          <w:ilvl w:val="0"/>
          <w:numId w:val="11"/>
        </w:numPr>
        <w:tabs>
          <w:tab w:val="clear" w:pos="709"/>
          <w:tab w:val="left" w:pos="851" w:leader="none"/>
          <w:tab w:val="left" w:pos="1134" w:leader="none"/>
          <w:tab w:val="left" w:pos="4707" w:leader="none"/>
        </w:tabs>
        <w:ind w:firstLine="709" w:left="0" w:right="0"/>
        <w:jc w:val="both"/>
        <w:rPr>
          <w:sz w:val="28"/>
        </w:rPr>
      </w:pPr>
      <w:r>
        <w:rPr>
          <w:sz w:val="28"/>
        </w:rPr>
        <w:t>Если участник экзамена ошибся, неверный ответ закалывается шеститочием. В качестве правильного ответа засчитывается последний ответ в строке. В случае повторного ответа на задание засчитывается последний ответ.</w:t>
      </w:r>
    </w:p>
    <w:p>
      <w:pPr>
        <w:pStyle w:val="1111"/>
        <w:numPr>
          <w:ilvl w:val="0"/>
          <w:numId w:val="11"/>
        </w:numPr>
        <w:tabs>
          <w:tab w:val="clear" w:pos="709"/>
          <w:tab w:val="left" w:pos="851" w:leader="none"/>
          <w:tab w:val="left" w:pos="993" w:leader="none"/>
          <w:tab w:val="left" w:pos="1134" w:leader="none"/>
          <w:tab w:val="left" w:pos="4707" w:leader="none"/>
        </w:tabs>
        <w:ind w:firstLine="709" w:left="0" w:right="0"/>
        <w:jc w:val="both"/>
        <w:rPr>
          <w:sz w:val="28"/>
        </w:rPr>
      </w:pPr>
      <w:r>
        <w:rPr>
          <w:sz w:val="28"/>
        </w:rPr>
        <w:t>При выполнении заданий необходимо следовать инструкциям в КИМ. Тексты инструкций сдвинуты вправо на два знака.</w:t>
      </w:r>
    </w:p>
    <w:p>
      <w:pPr>
        <w:pStyle w:val="1111"/>
        <w:tabs>
          <w:tab w:val="clear" w:pos="709"/>
          <w:tab w:val="left" w:pos="4707" w:leader="none"/>
        </w:tabs>
        <w:ind w:firstLine="709" w:left="0" w:right="0"/>
        <w:jc w:val="both"/>
        <w:rPr>
          <w:sz w:val="28"/>
        </w:rPr>
      </w:pPr>
      <w:r>
        <w:rPr>
          <w:sz w:val="28"/>
        </w:rPr>
      </w:r>
    </w:p>
    <w:p>
      <w:pPr>
        <w:pStyle w:val="1111"/>
        <w:tabs>
          <w:tab w:val="clear" w:pos="709"/>
          <w:tab w:val="left" w:pos="4707" w:leader="none"/>
        </w:tabs>
        <w:ind w:firstLine="709" w:left="0" w:right="0"/>
        <w:jc w:val="both"/>
        <w:rPr>
          <w:sz w:val="28"/>
        </w:rPr>
      </w:pPr>
      <w:r>
        <w:rPr>
          <w:sz w:val="28"/>
        </w:rPr>
      </w:r>
    </w:p>
    <w:p>
      <w:pPr>
        <w:pStyle w:val="Heading1"/>
        <w:jc w:val="right"/>
        <w:rPr/>
      </w:pPr>
      <w:bookmarkStart w:id="41" w:name="__RefHeading___13"/>
      <w:bookmarkStart w:id="42" w:name="bookmark41"/>
      <w:bookmarkEnd w:id="41"/>
      <w:bookmarkEnd w:id="42"/>
      <w:r>
        <w:rPr/>
        <w:t xml:space="preserve">Приложение 3. </w:t>
      </w:r>
    </w:p>
    <w:p>
      <w:pPr>
        <w:pStyle w:val="BodyText"/>
        <w:jc w:val="center"/>
        <w:rPr>
          <w:b/>
          <w:sz w:val="28"/>
        </w:rPr>
      </w:pPr>
      <w:r>
        <w:rPr>
          <w:b/>
          <w:sz w:val="28"/>
        </w:rPr>
      </w:r>
    </w:p>
    <w:p>
      <w:pPr>
        <w:pStyle w:val="BodyText"/>
        <w:jc w:val="center"/>
        <w:rPr>
          <w:b/>
          <w:sz w:val="28"/>
        </w:rPr>
      </w:pPr>
      <w:bookmarkStart w:id="43" w:name="__RefHeading___Toc158703_1129503340"/>
      <w:bookmarkEnd w:id="43"/>
      <w:r>
        <w:rPr>
          <w:b/>
          <w:sz w:val="28"/>
        </w:rPr>
        <w:t xml:space="preserve">Памятка для организатора в аудитории для слепых, поздноослепших и слабовидящих участников экзамена, выполняющих работу шрифтом Брайля </w:t>
      </w:r>
    </w:p>
    <w:p>
      <w:pPr>
        <w:pStyle w:val="1111"/>
        <w:tabs>
          <w:tab w:val="clear" w:pos="709"/>
          <w:tab w:val="left" w:pos="4707" w:leader="none"/>
        </w:tabs>
        <w:ind w:firstLine="709" w:left="0" w:right="0"/>
        <w:jc w:val="both"/>
        <w:rPr>
          <w:b/>
        </w:rPr>
      </w:pPr>
      <w:r>
        <w:rPr>
          <w:b/>
        </w:rPr>
      </w:r>
    </w:p>
    <w:p>
      <w:pPr>
        <w:pStyle w:val="1111"/>
        <w:tabs>
          <w:tab w:val="clear" w:pos="709"/>
          <w:tab w:val="left" w:pos="4707" w:leader="none"/>
        </w:tabs>
        <w:ind w:firstLine="709" w:left="0" w:right="0"/>
        <w:jc w:val="both"/>
        <w:rPr>
          <w:sz w:val="28"/>
        </w:rPr>
      </w:pPr>
      <w:r>
        <w:rPr>
          <w:b/>
          <w:sz w:val="28"/>
        </w:rPr>
        <w:t xml:space="preserve">Перед началом экзамена </w:t>
      </w:r>
      <w:r>
        <w:rPr>
          <w:sz w:val="28"/>
        </w:rPr>
        <w:t>организаторы в аудитории:</w:t>
      </w:r>
    </w:p>
    <w:p>
      <w:pPr>
        <w:pStyle w:val="1111"/>
        <w:tabs>
          <w:tab w:val="clear" w:pos="709"/>
          <w:tab w:val="left" w:pos="4707" w:leader="none"/>
        </w:tabs>
        <w:ind w:firstLine="709" w:left="0" w:right="0"/>
        <w:jc w:val="both"/>
        <w:rPr>
          <w:sz w:val="28"/>
        </w:rPr>
      </w:pPr>
      <w:r>
        <w:rPr>
          <w:sz w:val="28"/>
        </w:rPr>
        <w:t>а) получают у руководителя ППЭ формы ППЭ, в том числе с указанием ассистентов, распределенных в данный ППЭ;</w:t>
      </w:r>
    </w:p>
    <w:p>
      <w:pPr>
        <w:pStyle w:val="1111"/>
        <w:tabs>
          <w:tab w:val="clear" w:pos="709"/>
          <w:tab w:val="left" w:pos="4707" w:leader="none"/>
        </w:tabs>
        <w:ind w:firstLine="709" w:left="0" w:right="0"/>
        <w:jc w:val="both"/>
        <w:rPr>
          <w:sz w:val="28"/>
        </w:rPr>
      </w:pPr>
      <w:r>
        <w:rPr>
          <w:sz w:val="28"/>
        </w:rPr>
        <w:t>б) получают у руководителя ППЭ напечатанную Памятку для ассистентов слепых и слабовидящих участников экзаменов по заполнению шрифтом Брайля специальных тетрадей для записи ответов;</w:t>
      </w:r>
    </w:p>
    <w:p>
      <w:pPr>
        <w:pStyle w:val="1111"/>
        <w:tabs>
          <w:tab w:val="clear" w:pos="709"/>
          <w:tab w:val="left" w:pos="4707" w:leader="none"/>
        </w:tabs>
        <w:ind w:firstLine="709" w:left="0" w:right="0"/>
        <w:jc w:val="both"/>
        <w:rPr>
          <w:sz w:val="28"/>
        </w:rPr>
      </w:pPr>
      <w:r>
        <w:rPr>
          <w:sz w:val="28"/>
        </w:rPr>
        <w:t>в) проводят идентификацию личности по документу, удостоверяющему личность ассистента, сверив его данные с выданной руководителем ППЭ формой при входе ассистента в аудиторию;</w:t>
      </w:r>
    </w:p>
    <w:p>
      <w:pPr>
        <w:pStyle w:val="1111"/>
        <w:tabs>
          <w:tab w:val="clear" w:pos="709"/>
          <w:tab w:val="left" w:pos="4707" w:leader="none"/>
        </w:tabs>
        <w:ind w:firstLine="709" w:left="0" w:right="0"/>
        <w:jc w:val="both"/>
        <w:rPr>
          <w:sz w:val="28"/>
        </w:rPr>
      </w:pPr>
      <w:r>
        <w:rPr>
          <w:sz w:val="28"/>
        </w:rPr>
        <w:t>г) не позднее 09:45 по местному времени получают в Штабе ППЭ у руководителя ППЭ:</w:t>
      </w:r>
    </w:p>
    <w:p>
      <w:pPr>
        <w:pStyle w:val="1111"/>
        <w:tabs>
          <w:tab w:val="clear" w:pos="709"/>
          <w:tab w:val="left" w:pos="4707" w:leader="none"/>
        </w:tabs>
        <w:ind w:firstLine="709" w:left="0" w:right="0"/>
        <w:jc w:val="both"/>
        <w:rPr>
          <w:sz w:val="28"/>
        </w:rPr>
      </w:pPr>
      <w:r>
        <w:rPr>
          <w:sz w:val="28"/>
        </w:rPr>
        <w:t>доставочные спецпакеты с ИК, содержащие в себе КИМ, напечатанные шрифтом Брайля, специальные тетради для записи ответов, бланки регистрации и бланки ответов;</w:t>
      </w:r>
    </w:p>
    <w:p>
      <w:pPr>
        <w:pStyle w:val="1111"/>
        <w:tabs>
          <w:tab w:val="clear" w:pos="709"/>
          <w:tab w:val="left" w:pos="4707" w:leader="none"/>
        </w:tabs>
        <w:ind w:firstLine="709" w:left="0" w:right="0"/>
        <w:jc w:val="both"/>
        <w:rPr>
          <w:sz w:val="28"/>
        </w:rPr>
      </w:pPr>
      <w:r>
        <w:rPr>
          <w:sz w:val="28"/>
        </w:rPr>
        <w:t>черновики для письма шрифтом Брайля из расчета 10 листов на каждого участника экзамена;</w:t>
      </w:r>
    </w:p>
    <w:p>
      <w:pPr>
        <w:pStyle w:val="1111"/>
        <w:tabs>
          <w:tab w:val="clear" w:pos="709"/>
          <w:tab w:val="left" w:pos="4707" w:leader="none"/>
        </w:tabs>
        <w:ind w:firstLine="709" w:left="0" w:right="0"/>
        <w:jc w:val="both"/>
        <w:rPr>
          <w:sz w:val="28"/>
        </w:rPr>
      </w:pPr>
      <w:r>
        <w:rPr>
          <w:sz w:val="28"/>
        </w:rPr>
        <w:t>дополнительные листы для записи ответов по системе Брайля (в случае нехватки места в специальной тетради для записи ответов);</w:t>
      </w:r>
    </w:p>
    <w:p>
      <w:pPr>
        <w:pStyle w:val="1111"/>
        <w:tabs>
          <w:tab w:val="clear" w:pos="709"/>
          <w:tab w:val="left" w:pos="4707" w:leader="none"/>
        </w:tabs>
        <w:ind w:firstLine="709" w:left="0" w:right="0"/>
        <w:jc w:val="both"/>
        <w:rPr>
          <w:sz w:val="28"/>
        </w:rPr>
      </w:pPr>
      <w:r>
        <w:rPr>
          <w:sz w:val="28"/>
        </w:rPr>
        <w:t>пакеты для упаковки конвертов ИК (в случае принятия Министерством решения об организации работы Комиссии тифлопереводчиков в РЦОИ), бланков регистрации, бланков ответов, специальных тетрадей для записи ответов, бракованных (с нарушением комплектации и др.) ЭМ, использованных КИМ;</w:t>
      </w:r>
    </w:p>
    <w:p>
      <w:pPr>
        <w:pStyle w:val="1111"/>
        <w:tabs>
          <w:tab w:val="clear" w:pos="709"/>
          <w:tab w:val="left" w:pos="4707" w:leader="none"/>
        </w:tabs>
        <w:ind w:firstLine="709" w:left="0" w:right="0"/>
        <w:jc w:val="both"/>
        <w:rPr>
          <w:sz w:val="28"/>
        </w:rPr>
      </w:pPr>
      <w:r>
        <w:rPr>
          <w:b/>
          <w:sz w:val="28"/>
        </w:rPr>
        <w:t>При проведении экзамена в аудитории</w:t>
      </w:r>
      <w:r>
        <w:rPr>
          <w:sz w:val="28"/>
        </w:rPr>
        <w:t xml:space="preserve"> организаторы в аудитории:</w:t>
      </w:r>
    </w:p>
    <w:p>
      <w:pPr>
        <w:pStyle w:val="1111"/>
        <w:tabs>
          <w:tab w:val="clear" w:pos="709"/>
          <w:tab w:val="left" w:pos="4707" w:leader="none"/>
        </w:tabs>
        <w:ind w:firstLine="709" w:left="0" w:right="0"/>
        <w:jc w:val="both"/>
        <w:rPr>
          <w:sz w:val="28"/>
        </w:rPr>
      </w:pPr>
      <w:r>
        <w:rPr>
          <w:sz w:val="28"/>
        </w:rPr>
        <w:t>а) проводят инструктаж участников экзамена. Инструктаж состоит из двух частей. Первая часть инструктажа, проводимая с 09:50, совпадает с первой частью Инструкции для участника экзамена, зачитываемой организатором в аудитории перед началом экзамена с использованием ЭМ на бумажных носителях. Не ранее 10:00 по местному времени проводят вторую часть инструктажа;</w:t>
      </w:r>
    </w:p>
    <w:p>
      <w:pPr>
        <w:pStyle w:val="1111"/>
        <w:tabs>
          <w:tab w:val="clear" w:pos="709"/>
          <w:tab w:val="left" w:pos="4707" w:leader="none"/>
        </w:tabs>
        <w:ind w:firstLine="709" w:left="0" w:right="0"/>
        <w:jc w:val="both"/>
        <w:rPr>
          <w:sz w:val="28"/>
        </w:rPr>
      </w:pPr>
      <w:r>
        <w:rPr>
          <w:sz w:val="28"/>
        </w:rPr>
        <w:t>б) раздают «Памятку для ассистентов слепых и слабовидящих участников экзаменов по заполнению шрифтом Брайля тетрадей для ответов»;</w:t>
      </w:r>
    </w:p>
    <w:p>
      <w:pPr>
        <w:pStyle w:val="1111"/>
        <w:tabs>
          <w:tab w:val="clear" w:pos="709"/>
          <w:tab w:val="left" w:pos="4707" w:leader="none"/>
        </w:tabs>
        <w:ind w:firstLine="709" w:left="0" w:right="0"/>
        <w:jc w:val="both"/>
        <w:rPr>
          <w:sz w:val="28"/>
        </w:rPr>
      </w:pPr>
      <w:r>
        <w:rPr>
          <w:sz w:val="28"/>
        </w:rPr>
        <w:t>в) раздают ЭМ в произвольном порядке;</w:t>
      </w:r>
    </w:p>
    <w:p>
      <w:pPr>
        <w:pStyle w:val="1111"/>
        <w:tabs>
          <w:tab w:val="clear" w:pos="709"/>
          <w:tab w:val="left" w:pos="4707" w:leader="none"/>
        </w:tabs>
        <w:ind w:firstLine="709" w:left="0" w:right="0"/>
        <w:jc w:val="both"/>
        <w:rPr>
          <w:sz w:val="28"/>
        </w:rPr>
      </w:pPr>
      <w:r>
        <w:rPr>
          <w:sz w:val="28"/>
        </w:rPr>
        <w:t>г) объявляют о начале экзамена и фиксируют время начала и окончания экзамена на классной доске (информационном стенде) после заполнения второй страницы специальной тетради для записи ответов, заполнения регистрационных полей всех бланков ответов всеми участниками экзамена (ассистентами) (время, отведенное на инструктаж и заполнение регистрационных полей бланков ответов, в общее время экзамена не включается);</w:t>
      </w:r>
    </w:p>
    <w:p>
      <w:pPr>
        <w:pStyle w:val="1111"/>
        <w:tabs>
          <w:tab w:val="clear" w:pos="709"/>
          <w:tab w:val="left" w:pos="4707" w:leader="none"/>
        </w:tabs>
        <w:ind w:firstLine="709" w:left="0" w:right="0"/>
        <w:jc w:val="both"/>
        <w:rPr>
          <w:sz w:val="28"/>
        </w:rPr>
      </w:pPr>
      <w:r>
        <w:rPr>
          <w:sz w:val="28"/>
        </w:rPr>
        <w:t>д) выдают участнику экзамена дополнительный лист (листы) для записи ответов по системе Брайля в случае заполнения слепыми участниками экзамена всей специальной тетради для записи ответов. При этом участник экзамена пишет ФИО на верхней строке листа рельефно-точечным шрифтом Брайля, ассистент также пишет ФИО участника экзамена на дополнительном листе обычным способом;</w:t>
      </w:r>
    </w:p>
    <w:p>
      <w:pPr>
        <w:pStyle w:val="1111"/>
        <w:tabs>
          <w:tab w:val="clear" w:pos="709"/>
          <w:tab w:val="left" w:pos="4707" w:leader="none"/>
        </w:tabs>
        <w:ind w:firstLine="709" w:left="0" w:right="0"/>
        <w:jc w:val="both"/>
        <w:rPr>
          <w:sz w:val="28"/>
        </w:rPr>
      </w:pPr>
      <w:r>
        <w:rPr>
          <w:sz w:val="28"/>
        </w:rPr>
        <w:t>е) объявляют каждый час время до конца экзамена;</w:t>
      </w:r>
    </w:p>
    <w:p>
      <w:pPr>
        <w:pStyle w:val="1111"/>
        <w:tabs>
          <w:tab w:val="clear" w:pos="709"/>
          <w:tab w:val="left" w:pos="4707" w:leader="none"/>
        </w:tabs>
        <w:ind w:firstLine="709" w:left="0" w:right="0"/>
        <w:jc w:val="both"/>
        <w:rPr>
          <w:sz w:val="28"/>
        </w:rPr>
      </w:pPr>
      <w:r>
        <w:rPr>
          <w:sz w:val="28"/>
        </w:rPr>
        <w:t xml:space="preserve">ж) в случае принятия Министерством решения об организации работы Комиссии тифлопереводчиков в РЦОИ: </w:t>
      </w:r>
    </w:p>
    <w:p>
      <w:pPr>
        <w:pStyle w:val="1111"/>
        <w:tabs>
          <w:tab w:val="clear" w:pos="709"/>
          <w:tab w:val="left" w:pos="4707" w:leader="none"/>
        </w:tabs>
        <w:ind w:firstLine="709" w:left="0" w:right="0"/>
        <w:jc w:val="both"/>
        <w:rPr>
          <w:sz w:val="28"/>
        </w:rPr>
      </w:pPr>
      <w:r>
        <w:rPr>
          <w:sz w:val="28"/>
        </w:rPr>
        <w:t xml:space="preserve">просят ассистентов вложить в конверт ИК специальные тетради для записи ответов, бланки регистрации, бланки ответов, дополнительные листы для записи ответов по системе Брайля (при наличии), и собирают их со столов участников экзамена вместе с конвертами ИК, КИМ, черновиками. </w:t>
      </w:r>
    </w:p>
    <w:p>
      <w:pPr>
        <w:pStyle w:val="1111"/>
        <w:tabs>
          <w:tab w:val="clear" w:pos="709"/>
          <w:tab w:val="left" w:pos="4707" w:leader="none"/>
        </w:tabs>
        <w:ind w:firstLine="709" w:left="0" w:right="0"/>
        <w:jc w:val="both"/>
        <w:rPr>
          <w:sz w:val="28"/>
        </w:rPr>
      </w:pPr>
      <w:r>
        <w:rPr>
          <w:sz w:val="28"/>
        </w:rPr>
        <w:t xml:space="preserve">Фиксируют на конверте ИК количество специальных тетрадей для записи ответов, бланков регистрации, бланков ответов, дополнительных листов для записи ответов по системе Брайля (при наличии). В первый пакет упаковывают конверты ИК. Во второй пакет упаковывают бракованные (с нарушением комплектации и др.) ЭМ. В третий пакет упаковывают комплекты использованных КИМ. Все пакеты запечатывают. Использованные и неиспользованные черновики пересчитывают; </w:t>
      </w:r>
    </w:p>
    <w:p>
      <w:pPr>
        <w:pStyle w:val="1111"/>
        <w:tabs>
          <w:tab w:val="clear" w:pos="709"/>
          <w:tab w:val="left" w:pos="4707" w:leader="none"/>
        </w:tabs>
        <w:ind w:firstLine="709" w:left="0" w:right="0"/>
        <w:jc w:val="both"/>
        <w:rPr>
          <w:sz w:val="28"/>
        </w:rPr>
      </w:pPr>
      <w:r>
        <w:rPr>
          <w:sz w:val="28"/>
        </w:rPr>
        <w:t>з) в случае принятия Министерством решения об организации работы Комиссии тифлопереводчиков в аудитории проведения экзамена в ППЭ: после окончания экзамена просят ассистентов вложить в конверт ИК специальные тетради для записи ответов, бланки регистрации, бланки ответов, дополнительные листы для записи ответов по системе Брайля (при наличии) и оставить их на крае рабочего стола. Собирают и складывают в отдельный пакет бракованные (с нарушением комплектации и др.) ЭМ, в отдельный пакет – использованные КИМ. Все пакеты запечатывають. Использованные и неиспользованные черновики пересчитывают.</w:t>
      </w:r>
    </w:p>
    <w:p>
      <w:pPr>
        <w:pStyle w:val="1111"/>
        <w:tabs>
          <w:tab w:val="clear" w:pos="709"/>
          <w:tab w:val="left" w:pos="4707" w:leader="none"/>
        </w:tabs>
        <w:ind w:firstLine="709" w:left="0" w:right="0"/>
        <w:jc w:val="both"/>
        <w:rPr>
          <w:sz w:val="28"/>
        </w:rPr>
      </w:pPr>
      <w:r>
        <w:rPr>
          <w:sz w:val="28"/>
        </w:rPr>
        <w:t>После того, как последний участник экзамена покинул аудиторию, сообщают через организатора вне аудитории руководителю ППЭ о завершении экзамена в аудитории;</w:t>
      </w:r>
    </w:p>
    <w:p>
      <w:pPr>
        <w:pStyle w:val="1111"/>
        <w:tabs>
          <w:tab w:val="clear" w:pos="709"/>
          <w:tab w:val="left" w:pos="4707" w:leader="none"/>
        </w:tabs>
        <w:ind w:firstLine="709" w:left="0" w:right="0"/>
        <w:jc w:val="both"/>
        <w:rPr>
          <w:sz w:val="28"/>
        </w:rPr>
      </w:pPr>
      <w:r>
        <w:rPr>
          <w:sz w:val="28"/>
        </w:rPr>
        <w:t>и) присутствовуют при переносе Комиссией тифлопереводчиков ответов участников экзамена из специальных тетрадей для записи ответов в бланки ответов, при необходимости выдают тифлопереводчикам ДБО по схеме, соответствующей форме экзамена.</w:t>
      </w:r>
    </w:p>
    <w:p>
      <w:pPr>
        <w:pStyle w:val="1111"/>
        <w:tabs>
          <w:tab w:val="clear" w:pos="709"/>
          <w:tab w:val="left" w:pos="4707" w:leader="none"/>
        </w:tabs>
        <w:ind w:firstLine="709" w:left="0" w:right="0"/>
        <w:jc w:val="both"/>
        <w:rPr>
          <w:sz w:val="28"/>
        </w:rPr>
      </w:pPr>
      <w:r>
        <w:rPr>
          <w:sz w:val="28"/>
        </w:rPr>
        <w:t>После выполнения работы тифлопереводчиками складывают в отдельный пакет бланки регистрации, бланки ответов, ДБО, в отдельный пакет – специальные тетради для записи ответов, дополнительный(-ые) лист (листы) для записи ответов по системе Брайля (при наличии). Все пакеты запечатывают;</w:t>
      </w:r>
    </w:p>
    <w:p>
      <w:pPr>
        <w:pStyle w:val="1111"/>
        <w:tabs>
          <w:tab w:val="clear" w:pos="709"/>
          <w:tab w:val="left" w:pos="4707" w:leader="none"/>
        </w:tabs>
        <w:ind w:firstLine="709" w:left="0" w:right="0"/>
        <w:jc w:val="both"/>
        <w:rPr>
          <w:sz w:val="28"/>
        </w:rPr>
      </w:pPr>
      <w:r>
        <w:rPr>
          <w:sz w:val="28"/>
        </w:rPr>
        <w:t>к) оформляют информацию на пакетах: наименование, адрес и номер ППЭ, номер аудитории, наименование и код учебного предмета, по которому проводился экзамен, количество материалов в пакете, ФИО ответственного организатора в аудитории.</w:t>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r>
        <w:br w:type="page"/>
      </w:r>
    </w:p>
    <w:p>
      <w:pPr>
        <w:pStyle w:val="Heading1"/>
        <w:spacing w:before="0" w:after="0"/>
        <w:jc w:val="right"/>
        <w:rPr/>
      </w:pPr>
      <w:bookmarkStart w:id="44" w:name="__RefHeading___14"/>
      <w:bookmarkStart w:id="45" w:name="bookmark44"/>
      <w:bookmarkEnd w:id="44"/>
      <w:bookmarkEnd w:id="45"/>
      <w:r>
        <w:rPr/>
        <w:t xml:space="preserve">Приложение 4. </w:t>
      </w:r>
    </w:p>
    <w:p>
      <w:pPr>
        <w:pStyle w:val="1112"/>
        <w:tabs>
          <w:tab w:val="clear" w:pos="709"/>
          <w:tab w:val="left" w:pos="4707" w:leader="none"/>
        </w:tabs>
        <w:spacing w:lineRule="auto" w:line="276" w:before="0" w:after="100"/>
        <w:ind w:firstLine="709" w:left="0" w:right="0"/>
        <w:jc w:val="center"/>
        <w:rPr>
          <w:b/>
          <w:sz w:val="28"/>
        </w:rPr>
      </w:pPr>
      <w:r>
        <w:rPr>
          <w:b/>
          <w:sz w:val="28"/>
        </w:rPr>
      </w:r>
    </w:p>
    <w:p>
      <w:pPr>
        <w:pStyle w:val="BodyText"/>
        <w:jc w:val="center"/>
        <w:rPr>
          <w:rFonts w:ascii="Times New Roman" w:hAnsi="Times New Roman"/>
          <w:b/>
          <w:sz w:val="28"/>
        </w:rPr>
      </w:pPr>
      <w:bookmarkStart w:id="46" w:name="__RefHeading___Toc158705_1129503340"/>
      <w:bookmarkEnd w:id="46"/>
      <w:r>
        <w:rPr>
          <w:b/>
          <w:sz w:val="28"/>
        </w:rPr>
        <w:t xml:space="preserve">Памятка для организатора в аудитории для слабовидящих участников экзаменов </w:t>
      </w:r>
    </w:p>
    <w:p>
      <w:pPr>
        <w:pStyle w:val="1111"/>
        <w:tabs>
          <w:tab w:val="clear" w:pos="709"/>
          <w:tab w:val="left" w:pos="4707" w:leader="none"/>
        </w:tabs>
        <w:ind w:firstLine="709" w:left="0" w:right="0"/>
        <w:jc w:val="both"/>
        <w:rPr>
          <w:sz w:val="28"/>
        </w:rPr>
      </w:pPr>
      <w:r>
        <w:rPr>
          <w:b/>
          <w:sz w:val="28"/>
        </w:rPr>
        <w:t>Перед началом экзамена</w:t>
      </w:r>
      <w:r>
        <w:rPr>
          <w:sz w:val="28"/>
        </w:rPr>
        <w:t xml:space="preserve"> организаторы в аудитории:</w:t>
      </w:r>
    </w:p>
    <w:p>
      <w:pPr>
        <w:pStyle w:val="1111"/>
        <w:tabs>
          <w:tab w:val="clear" w:pos="709"/>
          <w:tab w:val="left" w:pos="4707" w:leader="none"/>
        </w:tabs>
        <w:ind w:firstLine="709" w:left="0" w:right="0"/>
        <w:jc w:val="both"/>
        <w:rPr>
          <w:sz w:val="28"/>
        </w:rPr>
      </w:pPr>
      <w:r>
        <w:rPr>
          <w:sz w:val="28"/>
        </w:rPr>
        <w:t>а) получают у руководителя ППЭ формы ППЭ, в том числе с указанием ассистентов, распределенных в данный ППЭ;</w:t>
      </w:r>
    </w:p>
    <w:p>
      <w:pPr>
        <w:pStyle w:val="1111"/>
        <w:tabs>
          <w:tab w:val="clear" w:pos="709"/>
          <w:tab w:val="left" w:pos="4707" w:leader="none"/>
        </w:tabs>
        <w:ind w:firstLine="709" w:left="0" w:right="0"/>
        <w:jc w:val="both"/>
        <w:rPr>
          <w:sz w:val="28"/>
        </w:rPr>
      </w:pPr>
      <w:r>
        <w:rPr>
          <w:sz w:val="28"/>
        </w:rPr>
        <w:t>б) проводят идентификацию личности ассистента по документу, удостоверяющему личность, сверив его данные с выданной руководителем ППЭ формой при входе ассистента в аудиторию;</w:t>
      </w:r>
    </w:p>
    <w:p>
      <w:pPr>
        <w:pStyle w:val="1111"/>
        <w:tabs>
          <w:tab w:val="clear" w:pos="709"/>
          <w:tab w:val="left" w:pos="4707" w:leader="none"/>
        </w:tabs>
        <w:ind w:firstLine="709" w:left="0" w:right="0"/>
        <w:jc w:val="both"/>
        <w:rPr>
          <w:sz w:val="28"/>
        </w:rPr>
      </w:pPr>
      <w:r>
        <w:rPr>
          <w:sz w:val="28"/>
        </w:rPr>
        <w:t>в) масштабируют до формата А3 ЭМ (при необходимости) в присутствии участников экзаменов, пригласив предварительно в аудиторию члена ГЭК (через организатора вне аудитории).</w:t>
      </w:r>
    </w:p>
    <w:p>
      <w:pPr>
        <w:pStyle w:val="1111"/>
        <w:tabs>
          <w:tab w:val="clear" w:pos="709"/>
          <w:tab w:val="left" w:pos="4707" w:leader="none"/>
        </w:tabs>
        <w:ind w:firstLine="709" w:left="0" w:right="0"/>
        <w:jc w:val="both"/>
        <w:rPr>
          <w:sz w:val="28"/>
        </w:rPr>
      </w:pPr>
      <w:r>
        <w:rPr>
          <w:b/>
          <w:sz w:val="28"/>
        </w:rPr>
        <w:t>Важно!</w:t>
      </w:r>
      <w:r>
        <w:rPr>
          <w:sz w:val="28"/>
        </w:rPr>
        <w:t xml:space="preserve"> Масштабирование производится не ранее 10:00 по местному времени под контролем члена(-ов) ГЭК.</w:t>
      </w:r>
    </w:p>
    <w:p>
      <w:pPr>
        <w:pStyle w:val="1111"/>
        <w:tabs>
          <w:tab w:val="clear" w:pos="709"/>
          <w:tab w:val="left" w:pos="4707" w:leader="none"/>
        </w:tabs>
        <w:ind w:firstLine="709" w:left="0" w:right="0"/>
        <w:jc w:val="both"/>
        <w:rPr>
          <w:sz w:val="28"/>
        </w:rPr>
      </w:pPr>
      <w:r>
        <w:rPr>
          <w:b/>
          <w:sz w:val="28"/>
        </w:rPr>
        <w:t>После окончания экзамена в аудитории</w:t>
      </w:r>
      <w:r>
        <w:rPr>
          <w:sz w:val="28"/>
        </w:rPr>
        <w:t xml:space="preserve"> организаторы в аудитории должны:</w:t>
      </w:r>
    </w:p>
    <w:p>
      <w:pPr>
        <w:pStyle w:val="1111"/>
        <w:tabs>
          <w:tab w:val="clear" w:pos="709"/>
          <w:tab w:val="left" w:pos="4707" w:leader="none"/>
        </w:tabs>
        <w:ind w:firstLine="709" w:left="0" w:right="0"/>
        <w:jc w:val="both"/>
        <w:rPr>
          <w:sz w:val="28"/>
        </w:rPr>
      </w:pPr>
      <w:r>
        <w:rPr>
          <w:sz w:val="28"/>
        </w:rPr>
        <w:t>а) собирают использованные КИМ (стандартного размера и масштабированные до формата А3);</w:t>
      </w:r>
    </w:p>
    <w:p>
      <w:pPr>
        <w:pStyle w:val="1111"/>
        <w:tabs>
          <w:tab w:val="clear" w:pos="709"/>
          <w:tab w:val="left" w:pos="4707" w:leader="none"/>
        </w:tabs>
        <w:ind w:firstLine="709" w:left="0" w:right="0"/>
        <w:jc w:val="both"/>
        <w:rPr>
          <w:sz w:val="28"/>
        </w:rPr>
      </w:pPr>
      <w:r>
        <w:rPr>
          <w:sz w:val="28"/>
        </w:rPr>
        <w:t>б) упаковывают и запечатывают использованные КИМ упаковать и запечатать в пакет;</w:t>
      </w:r>
    </w:p>
    <w:p>
      <w:pPr>
        <w:pStyle w:val="1111"/>
        <w:tabs>
          <w:tab w:val="clear" w:pos="709"/>
          <w:tab w:val="left" w:pos="4707" w:leader="none"/>
        </w:tabs>
        <w:ind w:firstLine="709" w:left="0" w:right="0"/>
        <w:jc w:val="both"/>
        <w:rPr>
          <w:sz w:val="28"/>
        </w:rPr>
      </w:pPr>
      <w:r>
        <w:rPr>
          <w:sz w:val="28"/>
        </w:rPr>
        <w:t>в) упаковывают и запечатывают в пакет бракованные (с нарушением комплектации и др.) ЭМ;</w:t>
      </w:r>
    </w:p>
    <w:p>
      <w:pPr>
        <w:pStyle w:val="1111"/>
        <w:tabs>
          <w:tab w:val="clear" w:pos="709"/>
          <w:tab w:val="left" w:pos="4707" w:leader="none"/>
        </w:tabs>
        <w:ind w:firstLine="709" w:left="0" w:right="0"/>
        <w:jc w:val="both"/>
        <w:rPr>
          <w:sz w:val="28"/>
        </w:rPr>
      </w:pPr>
      <w:r>
        <w:rPr>
          <w:sz w:val="28"/>
        </w:rPr>
        <w:t>г) собирают использованные черновики.</w:t>
      </w:r>
    </w:p>
    <w:p>
      <w:pPr>
        <w:pStyle w:val="1111"/>
        <w:tabs>
          <w:tab w:val="clear" w:pos="709"/>
          <w:tab w:val="left" w:pos="4707" w:leader="none"/>
        </w:tabs>
        <w:ind w:firstLine="709" w:left="0" w:right="0"/>
        <w:jc w:val="both"/>
        <w:rPr>
          <w:sz w:val="28"/>
        </w:rPr>
      </w:pPr>
      <w:r>
        <w:rPr>
          <w:sz w:val="28"/>
        </w:rPr>
        <w:t>д) приглашают через организатора вне аудитории члена ГЭК, общественных наблюдателей (при наличии) для контроля переноса ответов участников экзаменов в бланки стандартного размера;</w:t>
      </w:r>
    </w:p>
    <w:p>
      <w:pPr>
        <w:pStyle w:val="1111"/>
        <w:tabs>
          <w:tab w:val="clear" w:pos="709"/>
          <w:tab w:val="left" w:pos="4707" w:leader="none"/>
        </w:tabs>
        <w:ind w:firstLine="709" w:left="0" w:right="0"/>
        <w:jc w:val="both"/>
        <w:rPr>
          <w:sz w:val="28"/>
        </w:rPr>
      </w:pPr>
      <w:r>
        <w:rPr>
          <w:sz w:val="28"/>
        </w:rPr>
        <w:t>е) присутствуют при переносе ассистентами ответов участников экзамена из масштабированных бланков в бланки стандартного размера, при необходимости выдают ассистентам ДБО по схеме, соответствующей форме экзамена;</w:t>
      </w:r>
    </w:p>
    <w:p>
      <w:pPr>
        <w:pStyle w:val="1111"/>
        <w:tabs>
          <w:tab w:val="clear" w:pos="709"/>
          <w:tab w:val="left" w:pos="4707" w:leader="none"/>
        </w:tabs>
        <w:ind w:firstLine="709" w:left="0" w:right="0"/>
        <w:jc w:val="both"/>
        <w:rPr>
          <w:sz w:val="28"/>
        </w:rPr>
      </w:pPr>
      <w:r>
        <w:rPr>
          <w:sz w:val="28"/>
        </w:rPr>
        <w:t>ж) по окончании переноса ответов участников экзаменов ассистентами упаковывают и запечатывают бланки регистрации, бланки ответов, ДБО в пакет;</w:t>
      </w:r>
    </w:p>
    <w:p>
      <w:pPr>
        <w:pStyle w:val="1111"/>
        <w:tabs>
          <w:tab w:val="clear" w:pos="709"/>
          <w:tab w:val="left" w:pos="4707" w:leader="none"/>
        </w:tabs>
        <w:ind w:firstLine="709" w:left="0" w:right="0"/>
        <w:jc w:val="both"/>
        <w:rPr>
          <w:sz w:val="28"/>
        </w:rPr>
      </w:pPr>
      <w:r>
        <w:rPr>
          <w:sz w:val="28"/>
        </w:rPr>
        <w:t>з) заполняют информацию на пакетах: наименование, адрес и номер ППЭ, номер аудитории, наименование и код учебного предмета, по которому проводился экзамен, количество материалов в пакете, ФИО ответственного организатора в аудитории.</w:t>
      </w:r>
    </w:p>
    <w:p>
      <w:pPr>
        <w:pStyle w:val="1111"/>
        <w:tabs>
          <w:tab w:val="clear" w:pos="709"/>
          <w:tab w:val="left" w:pos="4707" w:leader="none"/>
        </w:tabs>
        <w:ind w:firstLine="709" w:left="0" w:right="0"/>
        <w:jc w:val="both"/>
        <w:rPr>
          <w:sz w:val="28"/>
        </w:rPr>
      </w:pPr>
      <w:r>
        <w:rPr>
          <w:sz w:val="28"/>
        </w:rPr>
      </w:r>
    </w:p>
    <w:p>
      <w:pPr>
        <w:pStyle w:val="1111"/>
        <w:tabs>
          <w:tab w:val="clear" w:pos="709"/>
          <w:tab w:val="left" w:pos="4707" w:leader="none"/>
        </w:tabs>
        <w:spacing w:before="0" w:after="160"/>
        <w:ind w:firstLine="709" w:left="0" w:right="0"/>
        <w:jc w:val="center"/>
        <w:rPr>
          <w:sz w:val="28"/>
        </w:rPr>
      </w:pPr>
      <w:r>
        <w:rPr>
          <w:sz w:val="28"/>
        </w:rPr>
      </w:r>
    </w:p>
    <w:p>
      <w:pPr>
        <w:pStyle w:val="1111"/>
        <w:tabs>
          <w:tab w:val="clear" w:pos="709"/>
          <w:tab w:val="left" w:pos="4707" w:leader="none"/>
        </w:tabs>
        <w:spacing w:before="0" w:after="160"/>
        <w:ind w:firstLine="709" w:left="0" w:right="0"/>
        <w:jc w:val="center"/>
        <w:rPr>
          <w:sz w:val="28"/>
        </w:rPr>
      </w:pPr>
      <w:r>
        <w:rPr>
          <w:sz w:val="28"/>
        </w:rPr>
      </w:r>
    </w:p>
    <w:p>
      <w:pPr>
        <w:pStyle w:val="1111"/>
        <w:tabs>
          <w:tab w:val="clear" w:pos="709"/>
          <w:tab w:val="left" w:pos="4707" w:leader="none"/>
        </w:tabs>
        <w:spacing w:before="0" w:after="160"/>
        <w:ind w:firstLine="709" w:left="0" w:right="0"/>
        <w:jc w:val="center"/>
        <w:rPr>
          <w:sz w:val="28"/>
        </w:rPr>
      </w:pPr>
      <w:r>
        <w:rPr>
          <w:sz w:val="28"/>
        </w:rPr>
      </w:r>
    </w:p>
    <w:p>
      <w:pPr>
        <w:pStyle w:val="1111"/>
        <w:tabs>
          <w:tab w:val="clear" w:pos="709"/>
          <w:tab w:val="left" w:pos="4707" w:leader="none"/>
        </w:tabs>
        <w:spacing w:before="0" w:after="160"/>
        <w:ind w:firstLine="709" w:left="0" w:right="0"/>
        <w:jc w:val="center"/>
        <w:rPr>
          <w:sz w:val="28"/>
        </w:rPr>
      </w:pPr>
      <w:r>
        <w:rPr>
          <w:sz w:val="28"/>
        </w:rPr>
      </w:r>
    </w:p>
    <w:p>
      <w:pPr>
        <w:pStyle w:val="1111"/>
        <w:tabs>
          <w:tab w:val="clear" w:pos="709"/>
          <w:tab w:val="left" w:pos="4707" w:leader="none"/>
        </w:tabs>
        <w:spacing w:before="0" w:after="160"/>
        <w:ind w:firstLine="709" w:left="0" w:right="0"/>
        <w:jc w:val="center"/>
        <w:rPr>
          <w:sz w:val="28"/>
        </w:rPr>
      </w:pPr>
      <w:r>
        <w:rPr>
          <w:sz w:val="28"/>
        </w:rPr>
      </w:r>
    </w:p>
    <w:p>
      <w:pPr>
        <w:pStyle w:val="1111"/>
        <w:tabs>
          <w:tab w:val="clear" w:pos="709"/>
          <w:tab w:val="left" w:pos="4707" w:leader="none"/>
        </w:tabs>
        <w:spacing w:before="0" w:after="160"/>
        <w:ind w:firstLine="709" w:left="0" w:right="0"/>
        <w:jc w:val="center"/>
        <w:rPr>
          <w:sz w:val="28"/>
        </w:rPr>
      </w:pPr>
      <w:r>
        <w:rPr>
          <w:sz w:val="28"/>
        </w:rPr>
      </w:r>
    </w:p>
    <w:p>
      <w:pPr>
        <w:pStyle w:val="Heading1"/>
        <w:jc w:val="right"/>
        <w:rPr/>
      </w:pPr>
      <w:bookmarkStart w:id="47" w:name="__RefHeading___15"/>
      <w:bookmarkStart w:id="48" w:name="bookmark45"/>
      <w:bookmarkEnd w:id="47"/>
      <w:bookmarkEnd w:id="48"/>
      <w:r>
        <w:rPr/>
        <w:t xml:space="preserve">Приложение 5. </w:t>
      </w:r>
    </w:p>
    <w:p>
      <w:pPr>
        <w:pStyle w:val="BodyText"/>
        <w:jc w:val="center"/>
        <w:rPr>
          <w:b/>
          <w:sz w:val="28"/>
        </w:rPr>
      </w:pPr>
      <w:bookmarkStart w:id="49" w:name="__RefHeading___Toc158707_1129503340"/>
      <w:bookmarkEnd w:id="49"/>
      <w:r>
        <w:rPr>
          <w:b/>
          <w:sz w:val="28"/>
        </w:rPr>
        <w:t>Памятка для руководителя ППЭ</w:t>
      </w:r>
    </w:p>
    <w:p>
      <w:pPr>
        <w:pStyle w:val="1111"/>
        <w:tabs>
          <w:tab w:val="clear" w:pos="709"/>
          <w:tab w:val="left" w:pos="4707" w:leader="none"/>
        </w:tabs>
        <w:ind w:firstLine="709" w:left="0" w:right="0"/>
        <w:jc w:val="both"/>
        <w:rPr>
          <w:sz w:val="28"/>
        </w:rPr>
      </w:pPr>
      <w:r>
        <w:rPr>
          <w:b/>
          <w:sz w:val="28"/>
        </w:rPr>
        <w:t>При подготовке к проведению экзаменов в ППЭ</w:t>
      </w:r>
      <w:r>
        <w:rPr>
          <w:sz w:val="28"/>
        </w:rPr>
        <w:t xml:space="preserve"> руководитель ППЭ: </w:t>
      </w:r>
    </w:p>
    <w:p>
      <w:pPr>
        <w:pStyle w:val="1111"/>
        <w:tabs>
          <w:tab w:val="clear" w:pos="709"/>
          <w:tab w:val="left" w:pos="4707" w:leader="none"/>
        </w:tabs>
        <w:ind w:firstLine="709" w:left="0" w:right="0"/>
        <w:jc w:val="both"/>
        <w:rPr>
          <w:sz w:val="28"/>
        </w:rPr>
      </w:pPr>
      <w:r>
        <w:rPr>
          <w:sz w:val="28"/>
        </w:rPr>
        <w:t>а) получают не позднее двух рабочих дней до проведения экзамена по соответствующему учебному предмету информацию из Министерства о количестве участников экзаменов в ППЭ и о необходимости организации проведения экзаменов в условиях, учитывающих состояние их здоровья, особенности психофизического развития;</w:t>
      </w:r>
    </w:p>
    <w:p>
      <w:pPr>
        <w:pStyle w:val="1111"/>
        <w:tabs>
          <w:tab w:val="clear" w:pos="709"/>
          <w:tab w:val="left" w:pos="4707" w:leader="none"/>
        </w:tabs>
        <w:ind w:firstLine="709" w:left="0" w:right="0"/>
        <w:jc w:val="both"/>
        <w:rPr>
          <w:sz w:val="28"/>
        </w:rPr>
      </w:pPr>
      <w:r>
        <w:rPr>
          <w:sz w:val="28"/>
        </w:rPr>
        <w:t>б) обеспечивает (совместно с руководителем образовательной организации, медицинской организации, на базе которой организован ППЭ) готовность помещений и аудиторий к проведению ГИА для участников экзаменов в соответствии с особенностями организации аудиторий ППЭ, в том числе техническое оснащение.</w:t>
      </w:r>
    </w:p>
    <w:p>
      <w:pPr>
        <w:pStyle w:val="1111"/>
        <w:tabs>
          <w:tab w:val="clear" w:pos="709"/>
          <w:tab w:val="left" w:pos="4707" w:leader="none"/>
        </w:tabs>
        <w:ind w:firstLine="709" w:left="0" w:right="0"/>
        <w:jc w:val="both"/>
        <w:rPr>
          <w:sz w:val="28"/>
        </w:rPr>
      </w:pPr>
      <w:r>
        <w:rPr>
          <w:b/>
          <w:sz w:val="28"/>
        </w:rPr>
        <w:t>В день проведения экзамена в ППЭ</w:t>
      </w:r>
      <w:r>
        <w:rPr>
          <w:sz w:val="28"/>
        </w:rPr>
        <w:t xml:space="preserve"> руководитель ППЭ:</w:t>
      </w:r>
    </w:p>
    <w:p>
      <w:pPr>
        <w:pStyle w:val="1111"/>
        <w:tabs>
          <w:tab w:val="clear" w:pos="709"/>
          <w:tab w:val="left" w:pos="4707" w:leader="none"/>
        </w:tabs>
        <w:ind w:firstLine="709" w:left="0" w:right="0"/>
        <w:jc w:val="both"/>
        <w:rPr>
          <w:sz w:val="28"/>
        </w:rPr>
      </w:pPr>
      <w:r>
        <w:rPr>
          <w:sz w:val="28"/>
        </w:rPr>
        <w:t xml:space="preserve">а) </w:t>
      </w:r>
      <w:r>
        <w:rPr>
          <w:b/>
          <w:sz w:val="28"/>
        </w:rPr>
        <w:t>не ранее 08:15 по местному времени</w:t>
      </w:r>
      <w:r>
        <w:rPr>
          <w:sz w:val="28"/>
        </w:rPr>
        <w:t xml:space="preserve"> начинает проведение инструктажа по процедуре проведения экзамена для работников ППЭ, выдает ответственному организатору, распределенному в специализированную (отдельную) аудиторию, список ассистентов, распределенных в данный ППЭ;</w:t>
      </w:r>
    </w:p>
    <w:p>
      <w:pPr>
        <w:pStyle w:val="1111"/>
        <w:tabs>
          <w:tab w:val="clear" w:pos="709"/>
          <w:tab w:val="left" w:pos="4707" w:leader="none"/>
        </w:tabs>
        <w:ind w:firstLine="709" w:left="0" w:right="0"/>
        <w:jc w:val="both"/>
        <w:rPr>
          <w:sz w:val="28"/>
        </w:rPr>
      </w:pPr>
      <w:r>
        <w:rPr>
          <w:sz w:val="28"/>
        </w:rPr>
        <w:t>б) выдает организатору в аудитории напечатанные Памятки для ассистентов слепых и слабовидящих участников экзаменов по заполнению шрифтом Брайля специальных тетрадей для записи ответов (по количеству участников экзамена в аудитории, где проводится экзамен для слепых, поздноослебших и слабовидящих участников экзаменов, владеющих шрифтом Брайля);</w:t>
      </w:r>
    </w:p>
    <w:p>
      <w:pPr>
        <w:pStyle w:val="1111"/>
        <w:tabs>
          <w:tab w:val="clear" w:pos="709"/>
          <w:tab w:val="left" w:pos="4707" w:leader="none"/>
        </w:tabs>
        <w:ind w:firstLine="709" w:left="0" w:right="0"/>
        <w:jc w:val="both"/>
        <w:rPr>
          <w:sz w:val="28"/>
        </w:rPr>
      </w:pPr>
      <w:r>
        <w:rPr>
          <w:sz w:val="28"/>
        </w:rPr>
        <w:t>в) выдает организатору в аудитории напечатанные Инструкции для участников экзаменов, зачитываемые организатором в аудитории перед началом экзамена (по количеству участников экзамена в аудитории, где проводится экзамен для глухих, слабослышащих, позднооглохших и кохлеарно имплантированных участников экзамена, участников экзамена с расстройствами аутистического спектра);</w:t>
      </w:r>
    </w:p>
    <w:p>
      <w:pPr>
        <w:pStyle w:val="1111"/>
        <w:tabs>
          <w:tab w:val="clear" w:pos="709"/>
          <w:tab w:val="left" w:pos="4707" w:leader="none"/>
        </w:tabs>
        <w:ind w:firstLine="709" w:left="0" w:right="0"/>
        <w:jc w:val="both"/>
        <w:rPr>
          <w:sz w:val="28"/>
        </w:rPr>
      </w:pPr>
      <w:r>
        <w:rPr>
          <w:sz w:val="28"/>
        </w:rPr>
        <w:t>г) выдает организатору в аудитории напечатанные Правила по заполнению бланков (по количеству участников экзамена в аудитории, где проводится экзамен для глухих, слабослышащих, позднооглохших и кохлеарно имплантированных участников экзамена, участников экзамена с расстройствами аутистического спектра);</w:t>
      </w:r>
    </w:p>
    <w:p>
      <w:pPr>
        <w:pStyle w:val="1111"/>
        <w:tabs>
          <w:tab w:val="clear" w:pos="709"/>
          <w:tab w:val="left" w:pos="4707" w:leader="none"/>
        </w:tabs>
        <w:ind w:firstLine="709" w:left="0" w:right="0"/>
        <w:jc w:val="both"/>
        <w:rPr>
          <w:sz w:val="28"/>
        </w:rPr>
      </w:pPr>
      <w:r>
        <w:rPr>
          <w:sz w:val="28"/>
        </w:rPr>
        <w:t xml:space="preserve">д) </w:t>
      </w:r>
      <w:r>
        <w:rPr>
          <w:b/>
          <w:sz w:val="28"/>
        </w:rPr>
        <w:t>не ранее 09:45 по местному времени</w:t>
      </w:r>
      <w:r>
        <w:rPr>
          <w:sz w:val="28"/>
        </w:rPr>
        <w:t xml:space="preserve"> выдает доставочные спецпакеты с ИК, содержащие в себе КИМ, напечатанные шрифтом Брайля, специальные тетради для записи ответов, бланки регистрации и бланки ответов; все ЭМ, технология доставки которых отличается от доставки ЭМ посредством сети «Интернет» в электронном и зашифрованном виде;</w:t>
      </w:r>
    </w:p>
    <w:p>
      <w:pPr>
        <w:pStyle w:val="1111"/>
        <w:tabs>
          <w:tab w:val="clear" w:pos="709"/>
          <w:tab w:val="left" w:pos="4707" w:leader="none"/>
        </w:tabs>
        <w:ind w:firstLine="709" w:left="0" w:right="0"/>
        <w:jc w:val="both"/>
        <w:rPr>
          <w:sz w:val="28"/>
        </w:rPr>
      </w:pPr>
      <w:r>
        <w:rPr>
          <w:sz w:val="28"/>
        </w:rPr>
        <w:t>е) черновики для письма шрифтом Брайля из расчета 10 листов на каждого участника экзамена;</w:t>
      </w:r>
    </w:p>
    <w:p>
      <w:pPr>
        <w:pStyle w:val="1111"/>
        <w:tabs>
          <w:tab w:val="clear" w:pos="709"/>
          <w:tab w:val="left" w:pos="4707" w:leader="none"/>
        </w:tabs>
        <w:ind w:firstLine="709" w:left="0" w:right="0"/>
        <w:jc w:val="both"/>
        <w:rPr>
          <w:sz w:val="28"/>
        </w:rPr>
      </w:pPr>
      <w:r>
        <w:rPr>
          <w:sz w:val="28"/>
        </w:rPr>
        <w:t>ж) дополнительные листы для записи ответов по системе Брайля;</w:t>
      </w:r>
    </w:p>
    <w:p>
      <w:pPr>
        <w:pStyle w:val="1111"/>
        <w:tabs>
          <w:tab w:val="clear" w:pos="709"/>
          <w:tab w:val="left" w:pos="4707" w:leader="none"/>
        </w:tabs>
        <w:ind w:firstLine="709" w:left="0" w:right="0"/>
        <w:jc w:val="both"/>
        <w:rPr>
          <w:sz w:val="28"/>
        </w:rPr>
      </w:pPr>
      <w:r>
        <w:rPr>
          <w:sz w:val="28"/>
        </w:rPr>
        <w:t>з) пакеты для упаковки конвертов ИК (в случае принятия Министерством решения об организации работы Комиссии тифлопереводчиков в РЦОИ), бланков регистрации, бланки ответов, специальных тетрадей для записи ответов, бракованных (с нарушением комплектации и др.) ЭМ, использованных КИМ.</w:t>
      </w:r>
    </w:p>
    <w:p>
      <w:pPr>
        <w:pStyle w:val="1111"/>
        <w:tabs>
          <w:tab w:val="clear" w:pos="709"/>
          <w:tab w:val="left" w:pos="4707" w:leader="none"/>
        </w:tabs>
        <w:ind w:firstLine="709" w:left="0" w:right="0"/>
        <w:jc w:val="both"/>
        <w:rPr>
          <w:sz w:val="28"/>
        </w:rPr>
      </w:pPr>
      <w:r>
        <w:rPr>
          <w:b/>
          <w:sz w:val="28"/>
        </w:rPr>
        <w:t>На этапе завершения экзамена в ППЭ</w:t>
      </w:r>
      <w:r>
        <w:rPr>
          <w:sz w:val="28"/>
        </w:rPr>
        <w:t xml:space="preserve"> руководитель ППЭ:</w:t>
      </w:r>
    </w:p>
    <w:p>
      <w:pPr>
        <w:pStyle w:val="1111"/>
        <w:tabs>
          <w:tab w:val="clear" w:pos="709"/>
          <w:tab w:val="left" w:pos="4707" w:leader="none"/>
        </w:tabs>
        <w:ind w:firstLine="709" w:left="0" w:right="0"/>
        <w:jc w:val="both"/>
        <w:rPr>
          <w:sz w:val="28"/>
        </w:rPr>
      </w:pPr>
      <w:r>
        <w:rPr>
          <w:sz w:val="28"/>
        </w:rPr>
        <w:t>а) получает в Штабе ППЭ за специально подготовленным столом, находящимся в зоне видимости камер видеонаблюдения, в присутствии члена(-ов) ГЭК:</w:t>
      </w:r>
    </w:p>
    <w:p>
      <w:pPr>
        <w:pStyle w:val="1111"/>
        <w:tabs>
          <w:tab w:val="clear" w:pos="709"/>
          <w:tab w:val="left" w:pos="4707" w:leader="none"/>
        </w:tabs>
        <w:ind w:firstLine="709" w:left="0" w:right="0"/>
        <w:jc w:val="both"/>
        <w:rPr>
          <w:sz w:val="28"/>
        </w:rPr>
      </w:pPr>
      <w:r>
        <w:rPr>
          <w:sz w:val="28"/>
          <w:u w:val="single"/>
        </w:rPr>
        <w:t>из аудитории для слепых, поздноослепших, слабовидящих участников экзамена, владеющих шрифтом Брайля:</w:t>
      </w:r>
    </w:p>
    <w:p>
      <w:pPr>
        <w:pStyle w:val="1111"/>
        <w:tabs>
          <w:tab w:val="clear" w:pos="709"/>
          <w:tab w:val="left" w:pos="4707" w:leader="none"/>
        </w:tabs>
        <w:ind w:firstLine="709" w:left="0" w:right="0"/>
        <w:jc w:val="both"/>
        <w:rPr>
          <w:sz w:val="28"/>
        </w:rPr>
      </w:pPr>
      <w:r>
        <w:rPr>
          <w:sz w:val="28"/>
        </w:rPr>
        <w:t>в случае принятия Министерством решения об организации работы Комиссии тифлопереводчиков в РЦОИ:</w:t>
      </w:r>
    </w:p>
    <w:p>
      <w:pPr>
        <w:pStyle w:val="1111"/>
        <w:tabs>
          <w:tab w:val="clear" w:pos="709"/>
          <w:tab w:val="left" w:pos="4707" w:leader="none"/>
        </w:tabs>
        <w:ind w:firstLine="709" w:left="0" w:right="0"/>
        <w:jc w:val="both"/>
        <w:rPr>
          <w:sz w:val="28"/>
        </w:rPr>
      </w:pPr>
      <w:r>
        <w:rPr>
          <w:sz w:val="28"/>
        </w:rPr>
        <w:t>запечатанный пакет, в котором находятся конверты ИК, содержащие специальные тетради для записи ответов, дополнительный(-ые) лист (листы) для записи ответов по системе Брайля (при наличии), бланки регистрации, бланки ответов;</w:t>
      </w:r>
    </w:p>
    <w:p>
      <w:pPr>
        <w:pStyle w:val="1111"/>
        <w:tabs>
          <w:tab w:val="clear" w:pos="709"/>
          <w:tab w:val="left" w:pos="4707" w:leader="none"/>
        </w:tabs>
        <w:ind w:firstLine="709" w:left="0" w:right="0"/>
        <w:jc w:val="both"/>
        <w:rPr>
          <w:sz w:val="28"/>
        </w:rPr>
      </w:pPr>
      <w:r>
        <w:rPr>
          <w:sz w:val="28"/>
        </w:rPr>
        <w:t>запечатанный пакет с использованными КИМ;</w:t>
      </w:r>
    </w:p>
    <w:p>
      <w:pPr>
        <w:pStyle w:val="1111"/>
        <w:tabs>
          <w:tab w:val="clear" w:pos="709"/>
          <w:tab w:val="left" w:pos="4707" w:leader="none"/>
        </w:tabs>
        <w:ind w:firstLine="709" w:left="0" w:right="0"/>
        <w:jc w:val="both"/>
        <w:rPr>
          <w:sz w:val="28"/>
        </w:rPr>
      </w:pPr>
      <w:r>
        <w:rPr>
          <w:sz w:val="28"/>
        </w:rPr>
        <w:t xml:space="preserve">запечатанный пакет с бракованными (с нарушением комплектации и др.) ЭМ; </w:t>
      </w:r>
    </w:p>
    <w:p>
      <w:pPr>
        <w:pStyle w:val="1111"/>
        <w:tabs>
          <w:tab w:val="clear" w:pos="709"/>
          <w:tab w:val="left" w:pos="4707" w:leader="none"/>
        </w:tabs>
        <w:ind w:firstLine="709" w:left="0" w:right="0"/>
        <w:jc w:val="both"/>
        <w:rPr>
          <w:sz w:val="28"/>
        </w:rPr>
      </w:pPr>
      <w:r>
        <w:rPr>
          <w:sz w:val="28"/>
        </w:rPr>
        <w:t>использованные черновики.</w:t>
      </w:r>
    </w:p>
    <w:p>
      <w:pPr>
        <w:pStyle w:val="1111"/>
        <w:tabs>
          <w:tab w:val="clear" w:pos="709"/>
          <w:tab w:val="left" w:pos="4707" w:leader="none"/>
        </w:tabs>
        <w:ind w:firstLine="709" w:left="0" w:right="0"/>
        <w:jc w:val="both"/>
        <w:rPr>
          <w:sz w:val="28"/>
        </w:rPr>
      </w:pPr>
      <w:r>
        <w:rPr>
          <w:sz w:val="28"/>
        </w:rPr>
        <w:t>В случае принятия Министерством решения об организации работы Комиссии тифлопереводчиков в аудитории проведения экзамена в ППЭ после окончания экзамена:</w:t>
      </w:r>
    </w:p>
    <w:p>
      <w:pPr>
        <w:pStyle w:val="1111"/>
        <w:tabs>
          <w:tab w:val="clear" w:pos="709"/>
          <w:tab w:val="left" w:pos="4707" w:leader="none"/>
        </w:tabs>
        <w:ind w:firstLine="709" w:left="0" w:right="0"/>
        <w:jc w:val="both"/>
        <w:rPr>
          <w:sz w:val="28"/>
        </w:rPr>
      </w:pPr>
      <w:r>
        <w:rPr>
          <w:sz w:val="28"/>
        </w:rPr>
        <w:t>запечатанный пакет с бланками регистрации, бланками ответов, ДБО;</w:t>
      </w:r>
    </w:p>
    <w:p>
      <w:pPr>
        <w:pStyle w:val="1111"/>
        <w:tabs>
          <w:tab w:val="clear" w:pos="709"/>
          <w:tab w:val="left" w:pos="4707" w:leader="none"/>
        </w:tabs>
        <w:ind w:firstLine="709" w:left="0" w:right="0"/>
        <w:jc w:val="both"/>
        <w:rPr>
          <w:sz w:val="28"/>
        </w:rPr>
      </w:pPr>
      <w:r>
        <w:rPr>
          <w:sz w:val="28"/>
        </w:rPr>
        <w:t>запечатанный пакет со специальными тетрадями для записи ответов, дополнительным(и) листом (листами) для записи ответов по системе Брайля (при наличии);</w:t>
      </w:r>
    </w:p>
    <w:p>
      <w:pPr>
        <w:pStyle w:val="1111"/>
        <w:tabs>
          <w:tab w:val="clear" w:pos="709"/>
          <w:tab w:val="left" w:pos="4707" w:leader="none"/>
        </w:tabs>
        <w:ind w:firstLine="709" w:left="0" w:right="0"/>
        <w:jc w:val="both"/>
        <w:rPr>
          <w:sz w:val="28"/>
        </w:rPr>
      </w:pPr>
      <w:r>
        <w:rPr>
          <w:sz w:val="28"/>
        </w:rPr>
        <w:t>запечатанный пакет с использованными КИМ;</w:t>
      </w:r>
    </w:p>
    <w:p>
      <w:pPr>
        <w:pStyle w:val="1111"/>
        <w:tabs>
          <w:tab w:val="clear" w:pos="709"/>
          <w:tab w:val="left" w:pos="4707" w:leader="none"/>
        </w:tabs>
        <w:ind w:firstLine="709" w:left="0" w:right="0"/>
        <w:jc w:val="both"/>
        <w:rPr>
          <w:sz w:val="28"/>
        </w:rPr>
      </w:pPr>
      <w:r>
        <w:rPr>
          <w:sz w:val="28"/>
        </w:rPr>
        <w:t xml:space="preserve">запечатанный пакет с бракованными (с нарушением комплектации и др.) ЭМ; </w:t>
      </w:r>
    </w:p>
    <w:p>
      <w:pPr>
        <w:pStyle w:val="1111"/>
        <w:tabs>
          <w:tab w:val="clear" w:pos="709"/>
          <w:tab w:val="left" w:pos="4707" w:leader="none"/>
        </w:tabs>
        <w:ind w:firstLine="709" w:left="0" w:right="0"/>
        <w:jc w:val="both"/>
        <w:rPr>
          <w:sz w:val="28"/>
        </w:rPr>
      </w:pPr>
      <w:r>
        <w:rPr>
          <w:sz w:val="28"/>
        </w:rPr>
        <w:t>использованные черновики.</w:t>
      </w:r>
    </w:p>
    <w:p>
      <w:pPr>
        <w:pStyle w:val="1111"/>
        <w:tabs>
          <w:tab w:val="clear" w:pos="709"/>
          <w:tab w:val="left" w:pos="4707" w:leader="none"/>
        </w:tabs>
        <w:ind w:firstLine="709" w:left="0" w:right="0"/>
        <w:jc w:val="both"/>
        <w:rPr>
          <w:sz w:val="28"/>
        </w:rPr>
      </w:pPr>
      <w:r>
        <w:rPr>
          <w:sz w:val="28"/>
          <w:u w:val="single"/>
        </w:rPr>
        <w:t>Из аудитории для слабовидящих участников экзамена:</w:t>
      </w:r>
    </w:p>
    <w:p>
      <w:pPr>
        <w:pStyle w:val="1111"/>
        <w:tabs>
          <w:tab w:val="clear" w:pos="709"/>
          <w:tab w:val="left" w:pos="4707" w:leader="none"/>
        </w:tabs>
        <w:ind w:firstLine="709" w:left="0" w:right="0"/>
        <w:jc w:val="both"/>
        <w:rPr>
          <w:sz w:val="28"/>
        </w:rPr>
      </w:pPr>
      <w:r>
        <w:rPr>
          <w:sz w:val="28"/>
        </w:rPr>
        <w:t>запечатанный стандартный пакет с бланками регистрации, бланки ответов, ДБО стандартного размера;</w:t>
      </w:r>
    </w:p>
    <w:p>
      <w:pPr>
        <w:pStyle w:val="1111"/>
        <w:tabs>
          <w:tab w:val="clear" w:pos="709"/>
          <w:tab w:val="left" w:pos="4707" w:leader="none"/>
        </w:tabs>
        <w:ind w:firstLine="709" w:left="0" w:right="0"/>
        <w:jc w:val="both"/>
        <w:rPr>
          <w:sz w:val="28"/>
        </w:rPr>
      </w:pPr>
      <w:r>
        <w:rPr>
          <w:sz w:val="28"/>
        </w:rPr>
        <w:t>запечатанный пакет с масштабированными до формата А3 бланками ответов, ДБО;</w:t>
      </w:r>
    </w:p>
    <w:p>
      <w:pPr>
        <w:pStyle w:val="1111"/>
        <w:tabs>
          <w:tab w:val="clear" w:pos="709"/>
          <w:tab w:val="left" w:pos="4707" w:leader="none"/>
        </w:tabs>
        <w:ind w:firstLine="709" w:left="0" w:right="0"/>
        <w:jc w:val="both"/>
        <w:rPr>
          <w:sz w:val="28"/>
        </w:rPr>
      </w:pPr>
      <w:r>
        <w:rPr>
          <w:sz w:val="28"/>
        </w:rPr>
        <w:t>запечатанный пакет с использованными КИМ;</w:t>
      </w:r>
    </w:p>
    <w:p>
      <w:pPr>
        <w:pStyle w:val="1111"/>
        <w:tabs>
          <w:tab w:val="clear" w:pos="709"/>
          <w:tab w:val="left" w:pos="4707" w:leader="none"/>
        </w:tabs>
        <w:ind w:firstLine="709" w:left="0" w:right="0"/>
        <w:jc w:val="both"/>
        <w:rPr>
          <w:sz w:val="28"/>
        </w:rPr>
      </w:pPr>
      <w:r>
        <w:rPr>
          <w:sz w:val="28"/>
        </w:rPr>
        <w:t>запечатанный пакет с использованными масштабированными до формата А3 КИМ;</w:t>
      </w:r>
    </w:p>
    <w:p>
      <w:pPr>
        <w:pStyle w:val="1111"/>
        <w:tabs>
          <w:tab w:val="clear" w:pos="709"/>
          <w:tab w:val="left" w:pos="4707" w:leader="none"/>
        </w:tabs>
        <w:ind w:firstLine="709" w:left="0" w:right="0"/>
        <w:jc w:val="both"/>
        <w:rPr>
          <w:sz w:val="28"/>
        </w:rPr>
      </w:pPr>
      <w:r>
        <w:rPr>
          <w:sz w:val="28"/>
        </w:rPr>
        <w:t xml:space="preserve">запечатанный пакет с бракованными (с нарушением комплектации и др.) ЭМ; </w:t>
      </w:r>
    </w:p>
    <w:p>
      <w:pPr>
        <w:pStyle w:val="1111"/>
        <w:tabs>
          <w:tab w:val="clear" w:pos="709"/>
          <w:tab w:val="left" w:pos="4707" w:leader="none"/>
        </w:tabs>
        <w:ind w:firstLine="709" w:left="0" w:right="0"/>
        <w:jc w:val="both"/>
        <w:rPr>
          <w:sz w:val="28"/>
        </w:rPr>
      </w:pPr>
      <w:r>
        <w:rPr>
          <w:sz w:val="28"/>
        </w:rPr>
        <w:t>использованные черновики.</w:t>
      </w:r>
    </w:p>
    <w:p>
      <w:pPr>
        <w:pStyle w:val="1111"/>
        <w:tabs>
          <w:tab w:val="clear" w:pos="709"/>
          <w:tab w:val="left" w:pos="4707" w:leader="none"/>
        </w:tabs>
        <w:ind w:firstLine="709" w:left="0" w:right="0"/>
        <w:jc w:val="both"/>
        <w:rPr>
          <w:sz w:val="28"/>
        </w:rPr>
      </w:pPr>
      <w:r>
        <w:rPr>
          <w:sz w:val="28"/>
          <w:u w:val="single"/>
        </w:rPr>
        <w:t>Из аудитории для участников экзамена, выполнявших письменную работу с использованием компьютера</w:t>
      </w:r>
      <w:r>
        <w:rPr>
          <w:rStyle w:val="FootnoteReference"/>
          <w:sz w:val="28"/>
          <w:u w:val="single"/>
        </w:rPr>
        <w:footnoteReference w:id="27"/>
      </w:r>
      <w:r>
        <w:rPr>
          <w:sz w:val="28"/>
          <w:u w:val="single"/>
        </w:rPr>
        <w:t>:</w:t>
      </w:r>
    </w:p>
    <w:p>
      <w:pPr>
        <w:pStyle w:val="1111"/>
        <w:tabs>
          <w:tab w:val="clear" w:pos="709"/>
          <w:tab w:val="left" w:pos="4707" w:leader="none"/>
        </w:tabs>
        <w:ind w:firstLine="709" w:left="0" w:right="0"/>
        <w:jc w:val="both"/>
        <w:rPr>
          <w:sz w:val="28"/>
        </w:rPr>
      </w:pPr>
      <w:r>
        <w:rPr>
          <w:sz w:val="28"/>
        </w:rPr>
        <w:t>запечатанный пакет с бланками регистрации, бланками ответов, ДБО;</w:t>
      </w:r>
    </w:p>
    <w:p>
      <w:pPr>
        <w:pStyle w:val="1111"/>
        <w:tabs>
          <w:tab w:val="clear" w:pos="709"/>
          <w:tab w:val="left" w:pos="4707" w:leader="none"/>
        </w:tabs>
        <w:ind w:firstLine="709" w:left="0" w:right="0"/>
        <w:jc w:val="both"/>
        <w:rPr>
          <w:sz w:val="28"/>
        </w:rPr>
      </w:pPr>
      <w:r>
        <w:rPr>
          <w:sz w:val="28"/>
        </w:rPr>
        <w:t>запечатанный пакет с распечатанными с компьютеров ответами участников экзамена на задания КИМ;</w:t>
      </w:r>
    </w:p>
    <w:p>
      <w:pPr>
        <w:pStyle w:val="1111"/>
        <w:tabs>
          <w:tab w:val="clear" w:pos="709"/>
          <w:tab w:val="left" w:pos="4707" w:leader="none"/>
        </w:tabs>
        <w:ind w:firstLine="709" w:left="0" w:right="0"/>
        <w:jc w:val="both"/>
        <w:rPr>
          <w:sz w:val="28"/>
        </w:rPr>
      </w:pPr>
      <w:r>
        <w:rPr>
          <w:sz w:val="28"/>
        </w:rPr>
        <w:t>запечатанный пакет с использованными КИМ;</w:t>
      </w:r>
    </w:p>
    <w:p>
      <w:pPr>
        <w:pStyle w:val="1111"/>
        <w:tabs>
          <w:tab w:val="clear" w:pos="709"/>
          <w:tab w:val="left" w:pos="4707" w:leader="none"/>
        </w:tabs>
        <w:ind w:firstLine="709" w:left="0" w:right="0"/>
        <w:jc w:val="both"/>
        <w:rPr>
          <w:sz w:val="28"/>
        </w:rPr>
      </w:pPr>
      <w:r>
        <w:rPr>
          <w:sz w:val="28"/>
        </w:rPr>
        <w:t>запечатанный пакет с бракованными (с нарушением комплектации и др.) ЭМ;</w:t>
      </w:r>
    </w:p>
    <w:p>
      <w:pPr>
        <w:pStyle w:val="1111"/>
        <w:tabs>
          <w:tab w:val="clear" w:pos="709"/>
          <w:tab w:val="left" w:pos="4707" w:leader="none"/>
        </w:tabs>
        <w:ind w:firstLine="709" w:left="0" w:right="0"/>
        <w:jc w:val="both"/>
        <w:rPr>
          <w:sz w:val="28"/>
        </w:rPr>
      </w:pPr>
      <w:r>
        <w:rPr>
          <w:sz w:val="28"/>
        </w:rPr>
        <w:t>использованные черновики;</w:t>
      </w:r>
    </w:p>
    <w:p>
      <w:pPr>
        <w:pStyle w:val="1111"/>
        <w:tabs>
          <w:tab w:val="clear" w:pos="709"/>
          <w:tab w:val="left" w:pos="4707" w:leader="none"/>
        </w:tabs>
        <w:ind w:firstLine="709" w:left="0" w:right="0"/>
        <w:jc w:val="both"/>
        <w:rPr>
          <w:sz w:val="28"/>
        </w:rPr>
      </w:pPr>
      <w:r>
        <w:rPr>
          <w:sz w:val="28"/>
        </w:rPr>
        <w:t>б) передает члену(-ам) ГЭК материалы из специализированных (отдельных) аудиторий отдельно от материалов, полученных из остальных аудиторий ППЭ.</w:t>
      </w:r>
    </w:p>
    <w:p>
      <w:pPr>
        <w:pStyle w:val="1111"/>
        <w:tabs>
          <w:tab w:val="clear" w:pos="709"/>
          <w:tab w:val="left" w:pos="4707" w:leader="none"/>
        </w:tabs>
        <w:ind w:firstLine="709" w:left="0" w:right="0"/>
        <w:jc w:val="both"/>
        <w:rPr>
          <w:b/>
          <w:sz w:val="28"/>
        </w:rPr>
      </w:pPr>
      <w:r>
        <w:rPr>
          <w:b/>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1112"/>
        <w:keepNext w:val="true"/>
        <w:keepLines/>
        <w:tabs>
          <w:tab w:val="clear" w:pos="709"/>
          <w:tab w:val="left" w:pos="4707" w:leader="none"/>
        </w:tabs>
        <w:spacing w:lineRule="auto" w:line="276" w:before="0" w:after="100"/>
        <w:ind w:firstLine="709" w:left="0" w:right="0"/>
        <w:jc w:val="center"/>
        <w:rPr>
          <w:sz w:val="28"/>
        </w:rPr>
      </w:pPr>
      <w:r>
        <w:rPr>
          <w:sz w:val="28"/>
        </w:rPr>
      </w:r>
      <w:r>
        <w:br w:type="page"/>
      </w:r>
    </w:p>
    <w:p>
      <w:pPr>
        <w:pStyle w:val="Heading1"/>
        <w:spacing w:before="0" w:after="0"/>
        <w:jc w:val="right"/>
        <w:rPr/>
      </w:pPr>
      <w:bookmarkStart w:id="50" w:name="__RefHeading___16"/>
      <w:bookmarkStart w:id="51" w:name="bookmark48"/>
      <w:bookmarkEnd w:id="50"/>
      <w:bookmarkEnd w:id="51"/>
      <w:r>
        <w:rPr/>
        <w:t xml:space="preserve">Приложение 6. </w:t>
      </w:r>
    </w:p>
    <w:p>
      <w:pPr>
        <w:pStyle w:val="1112"/>
        <w:tabs>
          <w:tab w:val="clear" w:pos="709"/>
          <w:tab w:val="left" w:pos="4707" w:leader="none"/>
        </w:tabs>
        <w:spacing w:lineRule="auto" w:line="276" w:before="0" w:after="100"/>
        <w:ind w:firstLine="709" w:left="0" w:right="0"/>
        <w:jc w:val="center"/>
        <w:rPr>
          <w:sz w:val="28"/>
        </w:rPr>
      </w:pPr>
      <w:r>
        <w:rPr>
          <w:sz w:val="28"/>
        </w:rPr>
      </w:r>
    </w:p>
    <w:p>
      <w:pPr>
        <w:pStyle w:val="BodyText"/>
        <w:jc w:val="center"/>
        <w:rPr>
          <w:b/>
          <w:sz w:val="28"/>
        </w:rPr>
      </w:pPr>
      <w:bookmarkStart w:id="52" w:name="__RefHeading___Toc158709_1129503340"/>
      <w:bookmarkEnd w:id="52"/>
      <w:r>
        <w:rPr>
          <w:b/>
          <w:sz w:val="28"/>
        </w:rPr>
        <w:t>Памятка для члена ГЭК</w:t>
      </w:r>
    </w:p>
    <w:p>
      <w:pPr>
        <w:pStyle w:val="1111"/>
        <w:tabs>
          <w:tab w:val="clear" w:pos="709"/>
          <w:tab w:val="left" w:pos="4707" w:leader="none"/>
        </w:tabs>
        <w:ind w:firstLine="709" w:left="0" w:right="0"/>
        <w:jc w:val="both"/>
        <w:rPr>
          <w:b/>
          <w:sz w:val="28"/>
        </w:rPr>
      </w:pPr>
      <w:r>
        <w:rPr>
          <w:b/>
          <w:sz w:val="28"/>
        </w:rPr>
      </w:r>
    </w:p>
    <w:p>
      <w:pPr>
        <w:pStyle w:val="1111"/>
        <w:tabs>
          <w:tab w:val="clear" w:pos="709"/>
          <w:tab w:val="left" w:pos="4707" w:leader="none"/>
        </w:tabs>
        <w:ind w:firstLine="709" w:left="0" w:right="0"/>
        <w:jc w:val="both"/>
        <w:rPr>
          <w:sz w:val="28"/>
        </w:rPr>
      </w:pPr>
      <w:r>
        <w:rPr>
          <w:b/>
          <w:sz w:val="28"/>
        </w:rPr>
        <w:t>Во время экзамена</w:t>
      </w:r>
      <w:r>
        <w:rPr>
          <w:sz w:val="28"/>
        </w:rPr>
        <w:t xml:space="preserve"> член ГЭК:</w:t>
      </w:r>
    </w:p>
    <w:p>
      <w:pPr>
        <w:pStyle w:val="1111"/>
        <w:tabs>
          <w:tab w:val="clear" w:pos="709"/>
          <w:tab w:val="left" w:pos="4707" w:leader="none"/>
        </w:tabs>
        <w:ind w:firstLine="709" w:left="0" w:right="0"/>
        <w:jc w:val="both"/>
        <w:rPr>
          <w:sz w:val="28"/>
        </w:rPr>
      </w:pPr>
      <w:r>
        <w:rPr>
          <w:sz w:val="28"/>
        </w:rPr>
        <w:t>а) присутствуют при масштабировании ЭМ стандартного размера в формат А3 в аудитории, где проводится экзамен для слабовидящих участников экзаменов;</w:t>
      </w:r>
    </w:p>
    <w:p>
      <w:pPr>
        <w:pStyle w:val="1111"/>
        <w:tabs>
          <w:tab w:val="clear" w:pos="709"/>
          <w:tab w:val="left" w:pos="4707" w:leader="none"/>
        </w:tabs>
        <w:ind w:firstLine="709" w:left="0" w:right="0"/>
        <w:jc w:val="both"/>
        <w:rPr>
          <w:sz w:val="28"/>
        </w:rPr>
      </w:pPr>
      <w:r>
        <w:rPr>
          <w:sz w:val="28"/>
        </w:rPr>
        <w:t>б) присутствуют при настройке звукоусиливающей аппаратуры коллективного пользования к работе в аудитории, где проводится экзамен для слабослышащих, кохлеарно имплантированных участников экзаменов.</w:t>
      </w:r>
    </w:p>
    <w:p>
      <w:pPr>
        <w:pStyle w:val="1111"/>
        <w:tabs>
          <w:tab w:val="clear" w:pos="709"/>
          <w:tab w:val="left" w:pos="4707" w:leader="none"/>
        </w:tabs>
        <w:ind w:firstLine="709" w:left="0" w:right="0"/>
        <w:jc w:val="both"/>
        <w:rPr>
          <w:sz w:val="28"/>
        </w:rPr>
      </w:pPr>
      <w:r>
        <w:rPr>
          <w:b/>
          <w:sz w:val="28"/>
        </w:rPr>
        <w:t>На завершающем этапе проведения экзамена</w:t>
      </w:r>
      <w:r>
        <w:rPr>
          <w:sz w:val="28"/>
        </w:rPr>
        <w:t xml:space="preserve"> член ГЭК:</w:t>
      </w:r>
    </w:p>
    <w:p>
      <w:pPr>
        <w:pStyle w:val="1111"/>
        <w:tabs>
          <w:tab w:val="clear" w:pos="709"/>
          <w:tab w:val="left" w:pos="4707" w:leader="none"/>
        </w:tabs>
        <w:ind w:firstLine="709" w:left="0" w:right="0"/>
        <w:jc w:val="both"/>
        <w:rPr>
          <w:sz w:val="28"/>
        </w:rPr>
      </w:pPr>
      <w:r>
        <w:rPr>
          <w:sz w:val="28"/>
        </w:rPr>
        <w:t>а) контролирует перенос ассистентами ответов участников экзаменов с масштабированных до формата А3 бланков ответов в бланки ответов стандартного размера (при выполнении ЭР слабовидящими участниками экзаменов);</w:t>
      </w:r>
    </w:p>
    <w:p>
      <w:pPr>
        <w:pStyle w:val="1111"/>
        <w:tabs>
          <w:tab w:val="clear" w:pos="709"/>
          <w:tab w:val="left" w:pos="4707" w:leader="none"/>
        </w:tabs>
        <w:ind w:firstLine="709" w:left="0" w:right="0"/>
        <w:jc w:val="both"/>
        <w:rPr>
          <w:sz w:val="28"/>
        </w:rPr>
      </w:pPr>
      <w:r>
        <w:rPr>
          <w:sz w:val="28"/>
        </w:rPr>
        <w:t>б) контролирует перенос ассистентами ответов участников экзаменов, распечатанных с компьютера, в бланки ответов, ДБО (при выполнении участниками экзаменов ЭР на компьютере);</w:t>
      </w:r>
    </w:p>
    <w:p>
      <w:pPr>
        <w:pStyle w:val="1111"/>
        <w:tabs>
          <w:tab w:val="clear" w:pos="709"/>
          <w:tab w:val="left" w:pos="4707" w:leader="none"/>
        </w:tabs>
        <w:ind w:firstLine="709" w:left="0" w:right="0"/>
        <w:jc w:val="both"/>
        <w:rPr>
          <w:sz w:val="28"/>
        </w:rPr>
      </w:pPr>
      <w:r>
        <w:rPr>
          <w:sz w:val="28"/>
        </w:rPr>
        <w:t>в) приглашает Комиссию тифлопереводчиков для работы по переводу ответов слепых, поздноослепших, слабовидящих участников экзаменов, владеющих шрифтом Брайля, на плоскопечатный шрифт и переносу их в бланки ответов, ДБО (в случае принятия Министерством решения об организации работы Комиссии тифлопереводчиков в аудитории проведения экзамена в ППЭ после окончания экзамена). Присутствует при работе Комиссии тифлопереводчиков;</w:t>
      </w:r>
    </w:p>
    <w:p>
      <w:pPr>
        <w:pStyle w:val="1111"/>
        <w:tabs>
          <w:tab w:val="clear" w:pos="709"/>
          <w:tab w:val="left" w:pos="4707" w:leader="none"/>
        </w:tabs>
        <w:ind w:firstLine="709" w:left="0" w:right="0"/>
        <w:jc w:val="both"/>
        <w:rPr>
          <w:sz w:val="28"/>
        </w:rPr>
      </w:pPr>
      <w:r>
        <w:rPr>
          <w:sz w:val="28"/>
        </w:rPr>
        <w:t>г) получает по окончании экзамена от руководителя ППЭ ЭМ из специализированных (отдельных) аудиторий и сдает материалы в РЦОИ отдельно от ЭМ, полученных из других аудиторий ППЭ (в случае если в ППЭ не производится сканирование материалов из этих аудиторий). Доставка ЭМ из ППЭ в РЦОИ производится незамедлительно по окончании процедуры сбора и оформления документов.</w:t>
      </w:r>
    </w:p>
    <w:p>
      <w:pPr>
        <w:pStyle w:val="1111"/>
        <w:tabs>
          <w:tab w:val="clear" w:pos="709"/>
          <w:tab w:val="left" w:pos="4707" w:leader="none"/>
        </w:tabs>
        <w:ind w:firstLine="709" w:left="0" w:right="0"/>
        <w:jc w:val="both"/>
        <w:rPr>
          <w:sz w:val="28"/>
        </w:rPr>
      </w:pPr>
      <w:r>
        <w:rPr>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Normal"/>
        <w:tabs>
          <w:tab w:val="clear" w:pos="709"/>
          <w:tab w:val="left" w:pos="4707" w:leader="none"/>
        </w:tabs>
        <w:ind w:firstLine="709" w:left="0" w:right="0"/>
        <w:rPr>
          <w:rFonts w:ascii="Times New Roman" w:hAnsi="Times New Roman"/>
          <w:sz w:val="28"/>
        </w:rPr>
      </w:pPr>
      <w:r>
        <w:rPr>
          <w:rFonts w:ascii="Times New Roman" w:hAnsi="Times New Roman"/>
          <w:sz w:val="28"/>
        </w:rPr>
      </w:r>
    </w:p>
    <w:p>
      <w:pPr>
        <w:pStyle w:val="Heading1"/>
        <w:jc w:val="right"/>
        <w:rPr/>
      </w:pPr>
      <w:bookmarkStart w:id="53" w:name="__RefHeading___17"/>
      <w:bookmarkEnd w:id="53"/>
      <w:r>
        <w:rPr/>
        <w:t xml:space="preserve">Приложение 7. </w:t>
      </w:r>
    </w:p>
    <w:p>
      <w:pPr>
        <w:pStyle w:val="BodyText"/>
        <w:jc w:val="center"/>
        <w:rPr>
          <w:b/>
          <w:sz w:val="28"/>
        </w:rPr>
      </w:pPr>
      <w:r>
        <w:rPr>
          <w:b/>
          <w:sz w:val="28"/>
        </w:rPr>
      </w:r>
    </w:p>
    <w:p>
      <w:pPr>
        <w:pStyle w:val="BodyText"/>
        <w:jc w:val="center"/>
        <w:rPr>
          <w:b/>
          <w:sz w:val="28"/>
        </w:rPr>
      </w:pPr>
      <w:bookmarkStart w:id="54" w:name="__RefHeading___Toc158711_1129503340"/>
      <w:bookmarkEnd w:id="54"/>
      <w:r>
        <w:rPr>
          <w:b/>
          <w:sz w:val="28"/>
        </w:rPr>
        <w:t>Инструкция для слепых, поздноослепших и слабовидящих участников экзаменов, зачитываемая организатором в аудитории перед началом экзамена с использованием ЭМ, изготовленных шрифтом Брайля</w:t>
      </w:r>
    </w:p>
    <w:tbl>
      <w:tblPr>
        <w:tblStyle w:val="Style_3"/>
        <w:tblW w:w="10037" w:type="dxa"/>
        <w:jc w:val="left"/>
        <w:tblInd w:w="0" w:type="dxa"/>
        <w:tblLayout w:type="fixed"/>
        <w:tblCellMar>
          <w:top w:w="0" w:type="dxa"/>
          <w:left w:w="108" w:type="dxa"/>
          <w:bottom w:w="0" w:type="dxa"/>
          <w:right w:w="108" w:type="dxa"/>
        </w:tblCellMar>
      </w:tblPr>
      <w:tblGrid>
        <w:gridCol w:w="10037"/>
      </w:tblGrid>
      <w:tr>
        <w:trPr/>
        <w:tc>
          <w:tcPr>
            <w:tcW w:w="10037" w:type="dxa"/>
            <w:tcBorders>
              <w:top w:val="single" w:sz="4" w:space="0" w:color="000000"/>
              <w:left w:val="single" w:sz="4" w:space="0" w:color="000000"/>
              <w:bottom w:val="single" w:sz="4" w:space="0" w:color="000000"/>
              <w:right w:val="single" w:sz="4" w:space="0" w:color="000000"/>
            </w:tcBorders>
          </w:tcPr>
          <w:p>
            <w:pPr>
              <w:pStyle w:val="1111"/>
              <w:widowControl w:val="false"/>
              <w:tabs>
                <w:tab w:val="clear" w:pos="709"/>
                <w:tab w:val="left" w:pos="4707" w:leader="none"/>
              </w:tabs>
              <w:spacing w:lineRule="auto" w:line="240" w:before="0" w:after="0"/>
              <w:ind w:firstLine="709" w:left="0" w:right="0"/>
              <w:jc w:val="both"/>
              <w:rPr>
                <w:sz w:val="28"/>
              </w:rPr>
            </w:pPr>
            <w:r>
              <w:rPr>
                <w:spacing w:val="0"/>
                <w:kern w:val="0"/>
                <w:sz w:val="28"/>
                <w:szCs w:val="20"/>
              </w:rPr>
              <w:t xml:space="preserve">Текст, который выделен </w:t>
            </w:r>
            <w:r>
              <w:rPr>
                <w:b/>
                <w:spacing w:val="0"/>
                <w:kern w:val="0"/>
                <w:sz w:val="28"/>
                <w:szCs w:val="20"/>
              </w:rPr>
              <w:t>жирным шрифтом</w:t>
            </w:r>
            <w:r>
              <w:rPr>
                <w:spacing w:val="0"/>
                <w:kern w:val="0"/>
                <w:sz w:val="28"/>
                <w:szCs w:val="20"/>
              </w:rPr>
              <w:t xml:space="preserve">, читают участникам экзамена </w:t>
            </w:r>
            <w:r>
              <w:rPr>
                <w:spacing w:val="0"/>
                <w:kern w:val="0"/>
                <w:sz w:val="28"/>
                <w:szCs w:val="20"/>
                <w:u w:val="single"/>
              </w:rPr>
              <w:t>слово в слово</w:t>
            </w:r>
            <w:r>
              <w:rPr>
                <w:spacing w:val="0"/>
                <w:kern w:val="0"/>
                <w:sz w:val="28"/>
                <w:szCs w:val="20"/>
              </w:rPr>
              <w:t xml:space="preserve">. Это делается для стандартизации процедуры проведения ЕГЭ. </w:t>
            </w:r>
            <w:r>
              <w:rPr>
                <w:i/>
                <w:spacing w:val="0"/>
                <w:kern w:val="0"/>
                <w:sz w:val="28"/>
                <w:szCs w:val="20"/>
              </w:rPr>
              <w:t>Комментарии, отмеченные курсивом, не читаются участникам.</w:t>
            </w:r>
            <w:r>
              <w:rPr>
                <w:spacing w:val="0"/>
                <w:kern w:val="0"/>
                <w:sz w:val="28"/>
                <w:szCs w:val="20"/>
              </w:rPr>
              <w:t xml:space="preserve"> Они даны в помощь организатору. Инструктаж и экзамен проводятся в спокойной и доброжелательной обстановке.</w:t>
            </w:r>
          </w:p>
        </w:tc>
      </w:tr>
    </w:tbl>
    <w:p>
      <w:pPr>
        <w:pStyle w:val="1111"/>
        <w:tabs>
          <w:tab w:val="clear" w:pos="709"/>
          <w:tab w:val="left" w:pos="4707" w:leader="none"/>
        </w:tabs>
        <w:ind w:firstLine="709" w:left="0" w:right="0"/>
        <w:jc w:val="both"/>
        <w:rPr>
          <w:sz w:val="28"/>
        </w:rPr>
      </w:pPr>
      <w:r>
        <w:rPr>
          <w:sz w:val="28"/>
          <w:u w:val="single"/>
        </w:rPr>
        <w:t>Вторая часть инструктажа (</w:t>
      </w:r>
      <w:r>
        <w:rPr>
          <w:i/>
          <w:sz w:val="28"/>
          <w:u w:val="single"/>
        </w:rPr>
        <w:t>начало проведения не ранее 10:00 по местному времени</w:t>
      </w:r>
      <w:r>
        <w:rPr>
          <w:sz w:val="28"/>
          <w:u w:val="single"/>
        </w:rPr>
        <w:t>).</w:t>
      </w:r>
    </w:p>
    <w:p>
      <w:pPr>
        <w:pStyle w:val="1111"/>
        <w:tabs>
          <w:tab w:val="clear" w:pos="709"/>
          <w:tab w:val="left" w:pos="4707" w:leader="none"/>
        </w:tabs>
        <w:ind w:firstLine="709" w:left="0" w:right="0"/>
        <w:jc w:val="both"/>
        <w:rPr>
          <w:sz w:val="28"/>
        </w:rPr>
      </w:pPr>
      <w:r>
        <w:rPr>
          <w:i/>
          <w:sz w:val="28"/>
        </w:rPr>
        <w:t>Продемонстрировать доставочные пакеты, убедиться, что информация о предмете и дате экзамена, указанная на доставочном пакете, достоверна.</w:t>
      </w:r>
    </w:p>
    <w:p>
      <w:pPr>
        <w:pStyle w:val="1111"/>
        <w:tabs>
          <w:tab w:val="clear" w:pos="709"/>
          <w:tab w:val="left" w:pos="4707" w:leader="none"/>
        </w:tabs>
        <w:ind w:firstLine="709" w:left="0" w:right="0"/>
        <w:jc w:val="both"/>
        <w:rPr>
          <w:sz w:val="28"/>
        </w:rPr>
      </w:pPr>
      <w:r>
        <w:rPr>
          <w:b/>
          <w:sz w:val="28"/>
        </w:rPr>
        <w:t>Сейчас вам будут выданы доставочные пакеты с индивидуальными комплектами экзаменационных материалов. Все действия с экзаменационными материалами в ходе инструктажа участник экзамена может выполнять совместно с ассистентом.</w:t>
      </w:r>
    </w:p>
    <w:p>
      <w:pPr>
        <w:pStyle w:val="1111"/>
        <w:tabs>
          <w:tab w:val="clear" w:pos="709"/>
          <w:tab w:val="left" w:pos="4707" w:leader="none"/>
        </w:tabs>
        <w:ind w:firstLine="709" w:left="0" w:right="0"/>
        <w:jc w:val="both"/>
        <w:rPr>
          <w:sz w:val="28"/>
        </w:rPr>
      </w:pPr>
      <w:r>
        <w:rPr>
          <w:i/>
          <w:sz w:val="28"/>
        </w:rPr>
        <w:t>Организатор раздает участникам доставочные пакеты.</w:t>
      </w:r>
    </w:p>
    <w:p>
      <w:pPr>
        <w:pStyle w:val="1111"/>
        <w:tabs>
          <w:tab w:val="clear" w:pos="709"/>
          <w:tab w:val="left" w:pos="4707" w:leader="none"/>
        </w:tabs>
        <w:ind w:firstLine="709" w:left="0" w:right="0"/>
        <w:jc w:val="both"/>
        <w:rPr>
          <w:sz w:val="28"/>
        </w:rPr>
      </w:pPr>
      <w:r>
        <w:rPr>
          <w:b/>
          <w:sz w:val="28"/>
        </w:rPr>
        <w:t>Проверьте целостность своего доставочного пакета. Осторожно вскройте пакет, сняв защитную пломбу.</w:t>
      </w:r>
    </w:p>
    <w:p>
      <w:pPr>
        <w:pStyle w:val="1111"/>
        <w:tabs>
          <w:tab w:val="clear" w:pos="709"/>
          <w:tab w:val="left" w:pos="4707" w:leader="none"/>
        </w:tabs>
        <w:ind w:firstLine="709" w:left="0" w:right="0"/>
        <w:jc w:val="both"/>
        <w:rPr>
          <w:sz w:val="28"/>
        </w:rPr>
      </w:pPr>
      <w:r>
        <w:rPr>
          <w:b/>
          <w:sz w:val="28"/>
        </w:rPr>
        <w:t>В пакете должны находиться конверт с бланками ЕГЭ и контрольным листом, а также зип-пакет с КИМ и тетрадью для ответов. Убедитесь в наличии всего перечисленного.</w:t>
      </w:r>
    </w:p>
    <w:p>
      <w:pPr>
        <w:pStyle w:val="1111"/>
        <w:tabs>
          <w:tab w:val="clear" w:pos="709"/>
          <w:tab w:val="left" w:pos="4707" w:leader="none"/>
        </w:tabs>
        <w:ind w:firstLine="709" w:left="0" w:right="0"/>
        <w:jc w:val="both"/>
        <w:rPr>
          <w:sz w:val="28"/>
        </w:rPr>
      </w:pPr>
      <w:r>
        <w:rPr>
          <w:i/>
          <w:sz w:val="28"/>
        </w:rPr>
        <w:t>Сделать паузу для выполнения указанных действий.</w:t>
      </w:r>
    </w:p>
    <w:p>
      <w:pPr>
        <w:pStyle w:val="1111"/>
        <w:tabs>
          <w:tab w:val="clear" w:pos="709"/>
          <w:tab w:val="left" w:pos="4707" w:leader="none"/>
        </w:tabs>
        <w:ind w:firstLine="709" w:left="0" w:right="0"/>
        <w:jc w:val="both"/>
        <w:rPr>
          <w:sz w:val="28"/>
        </w:rPr>
      </w:pPr>
      <w:r>
        <w:rPr>
          <w:b/>
          <w:sz w:val="28"/>
        </w:rPr>
        <w:t>Аккуратно вскройте конверт с бланками ЕГЭ и убедитесь в его правильной комплектации. В конверте должны находиться:</w:t>
      </w:r>
    </w:p>
    <w:p>
      <w:pPr>
        <w:pStyle w:val="1111"/>
        <w:tabs>
          <w:tab w:val="clear" w:pos="709"/>
          <w:tab w:val="left" w:pos="4707" w:leader="none"/>
        </w:tabs>
        <w:ind w:firstLine="709" w:left="0" w:right="0"/>
        <w:jc w:val="both"/>
        <w:rPr>
          <w:sz w:val="28"/>
        </w:rPr>
      </w:pPr>
      <w:r>
        <w:rPr>
          <w:b/>
          <w:sz w:val="28"/>
        </w:rPr>
        <w:t xml:space="preserve">контрольный лист; </w:t>
      </w:r>
    </w:p>
    <w:p>
      <w:pPr>
        <w:pStyle w:val="1111"/>
        <w:tabs>
          <w:tab w:val="clear" w:pos="709"/>
          <w:tab w:val="left" w:pos="4707" w:leader="none"/>
        </w:tabs>
        <w:ind w:firstLine="709" w:left="0" w:right="0"/>
        <w:jc w:val="both"/>
        <w:rPr>
          <w:sz w:val="28"/>
        </w:rPr>
      </w:pPr>
      <w:r>
        <w:rPr>
          <w:b/>
          <w:sz w:val="28"/>
        </w:rPr>
        <w:t xml:space="preserve">бланк регистрации; </w:t>
      </w:r>
    </w:p>
    <w:p>
      <w:pPr>
        <w:pStyle w:val="1111"/>
        <w:tabs>
          <w:tab w:val="clear" w:pos="709"/>
          <w:tab w:val="left" w:pos="4707" w:leader="none"/>
        </w:tabs>
        <w:ind w:firstLine="709" w:left="0" w:right="0"/>
        <w:jc w:val="both"/>
        <w:rPr>
          <w:sz w:val="28"/>
        </w:rPr>
      </w:pPr>
      <w:r>
        <w:rPr>
          <w:b/>
          <w:sz w:val="28"/>
        </w:rPr>
        <w:t>бланк ответов № 1;</w:t>
      </w:r>
    </w:p>
    <w:p>
      <w:pPr>
        <w:pStyle w:val="1111"/>
        <w:tabs>
          <w:tab w:val="clear" w:pos="709"/>
          <w:tab w:val="left" w:pos="4707" w:leader="none"/>
        </w:tabs>
        <w:ind w:firstLine="709" w:left="0" w:right="0"/>
        <w:jc w:val="both"/>
        <w:rPr>
          <w:sz w:val="28"/>
        </w:rPr>
      </w:pPr>
      <w:r>
        <w:rPr>
          <w:b/>
          <w:sz w:val="28"/>
        </w:rPr>
        <w:t>бланк ответов № 2 лист 1</w:t>
      </w:r>
      <w:r>
        <w:rPr>
          <w:sz w:val="28"/>
        </w:rPr>
        <w:t xml:space="preserve"> (</w:t>
      </w:r>
      <w:r>
        <w:rPr>
          <w:i/>
          <w:sz w:val="28"/>
        </w:rPr>
        <w:t>не читается при проведении ЕГЭ по математике базового уровня</w:t>
      </w:r>
      <w:r>
        <w:rPr>
          <w:sz w:val="28"/>
        </w:rPr>
        <w:t>);</w:t>
      </w:r>
    </w:p>
    <w:p>
      <w:pPr>
        <w:pStyle w:val="1111"/>
        <w:tabs>
          <w:tab w:val="clear" w:pos="709"/>
          <w:tab w:val="left" w:pos="4707" w:leader="none"/>
        </w:tabs>
        <w:ind w:firstLine="709" w:left="0" w:right="0"/>
        <w:jc w:val="both"/>
        <w:rPr>
          <w:sz w:val="28"/>
        </w:rPr>
      </w:pPr>
      <w:r>
        <w:rPr>
          <w:b/>
          <w:sz w:val="28"/>
        </w:rPr>
        <w:t>бланк ответов № 2 лист 2</w:t>
      </w:r>
      <w:r>
        <w:rPr>
          <w:sz w:val="28"/>
        </w:rPr>
        <w:t xml:space="preserve"> (</w:t>
      </w:r>
      <w:r>
        <w:rPr>
          <w:i/>
          <w:sz w:val="28"/>
        </w:rPr>
        <w:t>не читается при проведении ЕГЭ по математике базового уровня</w:t>
      </w:r>
      <w:r>
        <w:rPr>
          <w:sz w:val="28"/>
        </w:rPr>
        <w:t>);</w:t>
      </w:r>
    </w:p>
    <w:p>
      <w:pPr>
        <w:pStyle w:val="1111"/>
        <w:tabs>
          <w:tab w:val="clear" w:pos="709"/>
          <w:tab w:val="left" w:pos="4707" w:leader="none"/>
        </w:tabs>
        <w:ind w:firstLine="709" w:left="0" w:right="0"/>
        <w:jc w:val="both"/>
        <w:rPr>
          <w:sz w:val="28"/>
        </w:rPr>
      </w:pPr>
      <w:r>
        <w:rPr>
          <w:i/>
          <w:sz w:val="28"/>
        </w:rPr>
        <w:t>Сделать паузу для выполнения указанных действий.</w:t>
      </w:r>
    </w:p>
    <w:p>
      <w:pPr>
        <w:pStyle w:val="1111"/>
        <w:tabs>
          <w:tab w:val="clear" w:pos="709"/>
          <w:tab w:val="left" w:pos="4707" w:leader="none"/>
        </w:tabs>
        <w:ind w:firstLine="709" w:left="0" w:right="0"/>
        <w:jc w:val="both"/>
        <w:rPr>
          <w:sz w:val="28"/>
        </w:rPr>
      </w:pPr>
      <w:r>
        <w:rPr>
          <w:b/>
          <w:sz w:val="28"/>
        </w:rPr>
        <w:t>Ассистенты, возьмите в руки бланк регистрации и контрольный лист. Проверьте, совпадает ли цифровое значение штрихкода на бланке регистрации со штрихкодом на контрольном листе и на доставочном пакете.</w:t>
      </w:r>
    </w:p>
    <w:p>
      <w:pPr>
        <w:pStyle w:val="1111"/>
        <w:tabs>
          <w:tab w:val="clear" w:pos="709"/>
          <w:tab w:val="left" w:pos="4707" w:leader="none"/>
        </w:tabs>
        <w:ind w:firstLine="709" w:left="0" w:right="0"/>
        <w:jc w:val="both"/>
        <w:rPr>
          <w:sz w:val="28"/>
        </w:rPr>
      </w:pPr>
      <w:r>
        <w:rPr>
          <w:i/>
          <w:sz w:val="28"/>
        </w:rPr>
        <w:t>Сделать паузу для выполнения указанных действий.</w:t>
      </w:r>
    </w:p>
    <w:p>
      <w:pPr>
        <w:pStyle w:val="1111"/>
        <w:tabs>
          <w:tab w:val="clear" w:pos="709"/>
          <w:tab w:val="left" w:pos="4707" w:leader="none"/>
        </w:tabs>
        <w:ind w:firstLine="709" w:left="0" w:right="0"/>
        <w:jc w:val="both"/>
        <w:rPr>
          <w:sz w:val="28"/>
        </w:rPr>
      </w:pPr>
      <w:r>
        <w:rPr>
          <w:b/>
          <w:sz w:val="28"/>
        </w:rPr>
        <w:t>Внимательно просмотрите бланки, проверьте качество печати, в том числе штрихкодов и QR-кода, черных квадратов (реперов), на полиграфические дефекты.</w:t>
      </w:r>
    </w:p>
    <w:p>
      <w:pPr>
        <w:pStyle w:val="1111"/>
        <w:tabs>
          <w:tab w:val="clear" w:pos="709"/>
          <w:tab w:val="left" w:pos="4707" w:leader="none"/>
        </w:tabs>
        <w:ind w:firstLine="709" w:left="0" w:right="0"/>
        <w:jc w:val="both"/>
        <w:rPr>
          <w:sz w:val="28"/>
        </w:rPr>
      </w:pPr>
      <w:r>
        <w:rPr>
          <w:b/>
          <w:sz w:val="28"/>
        </w:rPr>
        <w:t>Приступаем к заполнению бланка регистрации.</w:t>
      </w:r>
    </w:p>
    <w:p>
      <w:pPr>
        <w:pStyle w:val="1111"/>
        <w:tabs>
          <w:tab w:val="clear" w:pos="709"/>
          <w:tab w:val="left" w:pos="4707" w:leader="none"/>
        </w:tabs>
        <w:ind w:firstLine="709" w:left="0" w:right="0"/>
        <w:jc w:val="both"/>
        <w:rPr>
          <w:sz w:val="28"/>
        </w:rPr>
      </w:pPr>
      <w:r>
        <w:rPr>
          <w:b/>
          <w:sz w:val="28"/>
        </w:rPr>
        <w:t>Записывайте буквы и цифры в соответствии с образцом на бланке. Каждая цифра, символ записывается в отдельную клетку.</w:t>
      </w:r>
    </w:p>
    <w:p>
      <w:pPr>
        <w:pStyle w:val="1111"/>
        <w:tabs>
          <w:tab w:val="clear" w:pos="709"/>
          <w:tab w:val="left" w:pos="4707" w:leader="none"/>
        </w:tabs>
        <w:ind w:firstLine="709" w:left="0" w:right="0"/>
        <w:jc w:val="both"/>
        <w:rPr>
          <w:sz w:val="28"/>
        </w:rPr>
      </w:pPr>
      <w:r>
        <w:rPr>
          <w:b/>
          <w:sz w:val="28"/>
        </w:rPr>
        <w:t>Заполните регистрационные поля в соответствии с информацией на доске (информационном стенде).</w:t>
      </w:r>
    </w:p>
    <w:p>
      <w:pPr>
        <w:pStyle w:val="1111"/>
        <w:tabs>
          <w:tab w:val="clear" w:pos="709"/>
          <w:tab w:val="left" w:pos="4707" w:leader="none"/>
        </w:tabs>
        <w:ind w:firstLine="709" w:left="0" w:right="0"/>
        <w:jc w:val="both"/>
        <w:rPr>
          <w:sz w:val="28"/>
        </w:rPr>
      </w:pPr>
      <w:r>
        <w:rPr>
          <w:i/>
          <w:sz w:val="28"/>
        </w:rPr>
        <w:t>Обратите внимание участников на доску (информационный стенд).</w:t>
      </w:r>
    </w:p>
    <w:p>
      <w:pPr>
        <w:pStyle w:val="1111"/>
        <w:tabs>
          <w:tab w:val="clear" w:pos="709"/>
          <w:tab w:val="left" w:pos="4707" w:leader="none"/>
        </w:tabs>
        <w:ind w:firstLine="709" w:left="0" w:right="0"/>
        <w:jc w:val="both"/>
        <w:rPr>
          <w:sz w:val="28"/>
        </w:rPr>
      </w:pPr>
      <w:r>
        <w:rPr>
          <w:b/>
          <w:sz w:val="28"/>
        </w:rPr>
        <w:t>Заполните поля: «Код региона», «Код ППЭ», «Номер аудитории», проверьте заполнение полей «Код предмета», «Название предмета», «Дата проведения экзамена». Заполните поле «Код образовательной организации» в соответствии с информацией на доске (информационном стенде), поле «Класс» заполните самостоятельно. Поля «Служебная отметка», «Резерв-1» и «Контрольная сумма» не заполняются.</w:t>
      </w:r>
    </w:p>
    <w:p>
      <w:pPr>
        <w:pStyle w:val="1111"/>
        <w:tabs>
          <w:tab w:val="clear" w:pos="709"/>
          <w:tab w:val="left" w:pos="4707" w:leader="none"/>
        </w:tabs>
        <w:ind w:firstLine="709" w:left="0" w:right="0"/>
        <w:jc w:val="both"/>
        <w:rPr>
          <w:sz w:val="28"/>
        </w:rPr>
      </w:pPr>
      <w:r>
        <w:rPr>
          <w:b/>
          <w:sz w:val="28"/>
        </w:rPr>
        <w:t>Заполняем сведения об участнике экзамена, поля: «Фамилия», «Имя», «Отчество (при наличии)», «Данные документа, удостоверяющего личность».</w:t>
      </w:r>
    </w:p>
    <w:p>
      <w:pPr>
        <w:pStyle w:val="1111"/>
        <w:tabs>
          <w:tab w:val="clear" w:pos="709"/>
          <w:tab w:val="left" w:pos="4707" w:leader="none"/>
        </w:tabs>
        <w:ind w:firstLine="709" w:left="0" w:right="0"/>
        <w:jc w:val="both"/>
        <w:rPr>
          <w:sz w:val="28"/>
        </w:rPr>
      </w:pPr>
      <w:r>
        <w:rPr>
          <w:i/>
          <w:sz w:val="28"/>
        </w:rPr>
        <w:t>Сделайте паузу для заполнения участниками экзамена бланков регистрации.</w:t>
      </w:r>
    </w:p>
    <w:p>
      <w:pPr>
        <w:pStyle w:val="1111"/>
        <w:tabs>
          <w:tab w:val="clear" w:pos="709"/>
          <w:tab w:val="left" w:pos="4707" w:leader="none"/>
        </w:tabs>
        <w:ind w:firstLine="709" w:left="0" w:right="0"/>
        <w:jc w:val="both"/>
        <w:rPr>
          <w:sz w:val="28"/>
        </w:rPr>
      </w:pPr>
      <w:r>
        <w:rPr>
          <w:b/>
          <w:sz w:val="28"/>
        </w:rPr>
        <w:t>Поставьте вашу подпись в поле «Подпись участника экзамена», расположенном в нижней части бланка регистрации.</w:t>
      </w:r>
    </w:p>
    <w:p>
      <w:pPr>
        <w:pStyle w:val="1111"/>
        <w:tabs>
          <w:tab w:val="clear" w:pos="709"/>
          <w:tab w:val="left" w:pos="4707" w:leader="none"/>
        </w:tabs>
        <w:ind w:firstLine="709" w:left="0" w:right="0"/>
        <w:jc w:val="both"/>
        <w:rPr>
          <w:sz w:val="28"/>
        </w:rPr>
      </w:pPr>
      <w:r>
        <w:rPr>
          <w:b/>
          <w:sz w:val="28"/>
        </w:rPr>
        <w:t>Вложите бланки ЕГЭ и контрольный лист обратно в конверт и отложите его на край стола.</w:t>
      </w:r>
    </w:p>
    <w:p>
      <w:pPr>
        <w:pStyle w:val="1111"/>
        <w:tabs>
          <w:tab w:val="clear" w:pos="709"/>
          <w:tab w:val="left" w:pos="4707" w:leader="none"/>
        </w:tabs>
        <w:ind w:firstLine="709" w:left="0" w:right="0"/>
        <w:jc w:val="both"/>
        <w:rPr>
          <w:sz w:val="28"/>
        </w:rPr>
      </w:pPr>
      <w:r>
        <w:rPr>
          <w:i/>
          <w:sz w:val="28"/>
        </w:rPr>
        <w:t>Сделать паузу для выполнения ассистентами указанных действий.</w:t>
      </w:r>
    </w:p>
    <w:p>
      <w:pPr>
        <w:pStyle w:val="1111"/>
        <w:tabs>
          <w:tab w:val="clear" w:pos="709"/>
          <w:tab w:val="left" w:pos="4707" w:leader="none"/>
        </w:tabs>
        <w:ind w:firstLine="709" w:left="0" w:right="0"/>
        <w:jc w:val="both"/>
        <w:rPr>
          <w:sz w:val="28"/>
        </w:rPr>
      </w:pPr>
      <w:r>
        <w:rPr>
          <w:i/>
          <w:sz w:val="28"/>
        </w:rPr>
        <w:t>При обнаружении несовпадений штрихкодов, некомплектности доставочного пакета необходимо заменить доставочный пакет на новый.</w:t>
      </w:r>
    </w:p>
    <w:p>
      <w:pPr>
        <w:pStyle w:val="1111"/>
        <w:tabs>
          <w:tab w:val="clear" w:pos="709"/>
          <w:tab w:val="left" w:pos="4707" w:leader="none"/>
        </w:tabs>
        <w:ind w:firstLine="709" w:left="0" w:right="0"/>
        <w:jc w:val="both"/>
        <w:rPr>
          <w:sz w:val="28"/>
        </w:rPr>
      </w:pPr>
      <w:r>
        <w:rPr>
          <w:b/>
          <w:sz w:val="28"/>
        </w:rPr>
        <w:t>Возьмите в руки тетрадь для записи ответов. На титульном листе (обложке) в верхней части листа напишите фамилию, имя, отчество и паспортные данные участника экзамена из документа, удостоверяющего его личность.</w:t>
      </w:r>
    </w:p>
    <w:p>
      <w:pPr>
        <w:pStyle w:val="1111"/>
        <w:tabs>
          <w:tab w:val="clear" w:pos="709"/>
          <w:tab w:val="left" w:pos="4707" w:leader="none"/>
        </w:tabs>
        <w:ind w:firstLine="709" w:left="0" w:right="0"/>
        <w:jc w:val="both"/>
        <w:rPr>
          <w:sz w:val="28"/>
        </w:rPr>
      </w:pPr>
      <w:r>
        <w:rPr>
          <w:i/>
          <w:sz w:val="28"/>
        </w:rPr>
        <w:t>Сделать паузу для выполнения ассистентами указанных действий. Проверить правильность информации, внесённой на титульный лист.</w:t>
      </w:r>
    </w:p>
    <w:p>
      <w:pPr>
        <w:pStyle w:val="1111"/>
        <w:tabs>
          <w:tab w:val="clear" w:pos="709"/>
          <w:tab w:val="left" w:pos="4707" w:leader="none"/>
        </w:tabs>
        <w:ind w:firstLine="709" w:left="0" w:right="0"/>
        <w:jc w:val="both"/>
        <w:rPr>
          <w:sz w:val="28"/>
        </w:rPr>
      </w:pPr>
      <w:r>
        <w:rPr>
          <w:b/>
          <w:sz w:val="28"/>
        </w:rPr>
        <w:t>Передайте тетрадь для записи ответов участнику экзамена.</w:t>
      </w:r>
    </w:p>
    <w:p>
      <w:pPr>
        <w:pStyle w:val="1111"/>
        <w:tabs>
          <w:tab w:val="clear" w:pos="709"/>
          <w:tab w:val="left" w:pos="4707" w:leader="none"/>
        </w:tabs>
        <w:ind w:firstLine="709" w:left="0" w:right="0"/>
        <w:jc w:val="both"/>
        <w:rPr>
          <w:sz w:val="28"/>
        </w:rPr>
      </w:pPr>
      <w:r>
        <w:rPr>
          <w:b/>
          <w:sz w:val="28"/>
        </w:rPr>
        <w:t>Участники экзамена, запишите шрифтом Брайля в тетради для ответов на первом листе после титульного листа, отпечатанного шрифтом Брайля, фамилию (с новой строки), имя (с новой строки), отчество (с новой строки) (при наличии), серию и номер документа, удостоверяющего личность (паспорта) (с новой строки). При необходимости паспортные данные вам продиктует ассистент.</w:t>
      </w:r>
    </w:p>
    <w:p>
      <w:pPr>
        <w:pStyle w:val="1111"/>
        <w:tabs>
          <w:tab w:val="clear" w:pos="709"/>
          <w:tab w:val="left" w:pos="4707" w:leader="none"/>
        </w:tabs>
        <w:ind w:firstLine="709" w:left="0" w:right="0"/>
        <w:jc w:val="both"/>
        <w:rPr>
          <w:sz w:val="28"/>
        </w:rPr>
      </w:pPr>
      <w:r>
        <w:rPr>
          <w:i/>
          <w:sz w:val="28"/>
        </w:rPr>
        <w:t>Сделать паузу для выполнения участниками экзамена указанных действий.</w:t>
      </w:r>
    </w:p>
    <w:p>
      <w:pPr>
        <w:pStyle w:val="1111"/>
        <w:tabs>
          <w:tab w:val="clear" w:pos="709"/>
          <w:tab w:val="left" w:pos="4707" w:leader="none"/>
        </w:tabs>
        <w:ind w:firstLine="709" w:left="0" w:right="0"/>
        <w:jc w:val="both"/>
        <w:rPr>
          <w:sz w:val="28"/>
        </w:rPr>
      </w:pPr>
      <w:r>
        <w:rPr>
          <w:b/>
          <w:sz w:val="28"/>
        </w:rPr>
        <w:t>Проверить КИМ по Брайлю на наличие брака.</w:t>
      </w:r>
    </w:p>
    <w:p>
      <w:pPr>
        <w:pStyle w:val="1111"/>
        <w:tabs>
          <w:tab w:val="clear" w:pos="709"/>
          <w:tab w:val="left" w:pos="4707" w:leader="none"/>
        </w:tabs>
        <w:ind w:firstLine="709" w:left="0" w:right="0"/>
        <w:jc w:val="both"/>
        <w:rPr>
          <w:sz w:val="28"/>
        </w:rPr>
      </w:pPr>
      <w:r>
        <w:rPr>
          <w:b/>
          <w:sz w:val="28"/>
        </w:rPr>
        <w:t>Обращаем внимание, что ответы пишутся с одной стороны листа, начиная со второго листа после титульного листа, отпечатанного шрифтом Брайля.</w:t>
      </w:r>
    </w:p>
    <w:p>
      <w:pPr>
        <w:pStyle w:val="1111"/>
        <w:tabs>
          <w:tab w:val="clear" w:pos="709"/>
          <w:tab w:val="left" w:pos="4707" w:leader="none"/>
        </w:tabs>
        <w:ind w:firstLine="709" w:left="0" w:right="0"/>
        <w:jc w:val="both"/>
        <w:rPr>
          <w:sz w:val="28"/>
        </w:rPr>
      </w:pPr>
      <w:r>
        <w:rPr>
          <w:b/>
          <w:sz w:val="28"/>
        </w:rPr>
        <w:t>При выполнении заданий с кратким ответом необходимо записать номер задания и ответ, располагая каждый ответ на отдельной строке. Если одной строки недостаточно для записи ответа, нужно продолжить запись на следующей строке.</w:t>
      </w:r>
    </w:p>
    <w:p>
      <w:pPr>
        <w:pStyle w:val="1111"/>
        <w:tabs>
          <w:tab w:val="clear" w:pos="709"/>
          <w:tab w:val="left" w:pos="4707" w:leader="none"/>
        </w:tabs>
        <w:ind w:firstLine="709" w:left="0" w:right="0"/>
        <w:jc w:val="both"/>
        <w:rPr>
          <w:sz w:val="28"/>
        </w:rPr>
      </w:pPr>
      <w:r>
        <w:rPr>
          <w:b/>
          <w:sz w:val="28"/>
        </w:rPr>
        <w:t>Между номером задания и ответом необходимо оставить интервал (пропустить одну клетку).</w:t>
      </w:r>
    </w:p>
    <w:p>
      <w:pPr>
        <w:pStyle w:val="1111"/>
        <w:tabs>
          <w:tab w:val="clear" w:pos="709"/>
          <w:tab w:val="left" w:pos="4707" w:leader="none"/>
        </w:tabs>
        <w:ind w:firstLine="709" w:left="0" w:right="0"/>
        <w:jc w:val="both"/>
        <w:rPr>
          <w:sz w:val="28"/>
        </w:rPr>
      </w:pPr>
      <w:r>
        <w:rPr>
          <w:b/>
          <w:sz w:val="28"/>
        </w:rPr>
        <w:t>Если ответом должно быть слово, то нужно писать его в той форме, в которой данное слово стоит в предложении или указано в задании.</w:t>
      </w:r>
    </w:p>
    <w:p>
      <w:pPr>
        <w:pStyle w:val="1111"/>
        <w:tabs>
          <w:tab w:val="clear" w:pos="709"/>
          <w:tab w:val="left" w:pos="4707" w:leader="none"/>
        </w:tabs>
        <w:ind w:firstLine="709" w:left="0" w:right="0"/>
        <w:jc w:val="both"/>
        <w:rPr>
          <w:sz w:val="28"/>
        </w:rPr>
      </w:pPr>
      <w:r>
        <w:rPr>
          <w:b/>
          <w:sz w:val="28"/>
        </w:rPr>
        <w:t>Все последовательности цифр и сочетания слов, являющиеся краткими ответами на задания, записываются в соответствии с образцами ответов, помещенными в Инструкции по выполнению работы, – без пробелов, запятых и других дополнительных символов. Цифры пишутся с цифровыми знаками.</w:t>
      </w:r>
    </w:p>
    <w:p>
      <w:pPr>
        <w:pStyle w:val="1111"/>
        <w:tabs>
          <w:tab w:val="clear" w:pos="709"/>
          <w:tab w:val="left" w:pos="4707" w:leader="none"/>
        </w:tabs>
        <w:ind w:firstLine="709" w:left="0" w:right="0"/>
        <w:jc w:val="both"/>
        <w:rPr>
          <w:sz w:val="28"/>
        </w:rPr>
      </w:pPr>
      <w:r>
        <w:rPr>
          <w:b/>
          <w:sz w:val="28"/>
        </w:rPr>
        <w:t>Ответы на задания с развернутыми ответами записываются, начиная с новой страницы тетради для ответов.</w:t>
      </w:r>
    </w:p>
    <w:p>
      <w:pPr>
        <w:pStyle w:val="1111"/>
        <w:tabs>
          <w:tab w:val="clear" w:pos="709"/>
          <w:tab w:val="left" w:pos="4707" w:leader="none"/>
        </w:tabs>
        <w:ind w:firstLine="709" w:left="0" w:right="0"/>
        <w:jc w:val="both"/>
        <w:rPr>
          <w:sz w:val="28"/>
        </w:rPr>
      </w:pPr>
      <w:r>
        <w:rPr>
          <w:b/>
          <w:sz w:val="28"/>
        </w:rPr>
        <w:t>Если участник экзамена ошибся, неверный ответ закалывается шеститочием. В качестве правильного ответа засчитывается последний ответ в строке. В случае повторного ответа на задание засчитывается последний ответ.</w:t>
      </w:r>
    </w:p>
    <w:p>
      <w:pPr>
        <w:pStyle w:val="1111"/>
        <w:tabs>
          <w:tab w:val="clear" w:pos="709"/>
          <w:tab w:val="left" w:pos="4707" w:leader="none"/>
        </w:tabs>
        <w:ind w:firstLine="709" w:left="0" w:right="0"/>
        <w:jc w:val="both"/>
        <w:rPr>
          <w:sz w:val="28"/>
        </w:rPr>
      </w:pPr>
      <w:r>
        <w:rPr>
          <w:b/>
          <w:sz w:val="28"/>
        </w:rPr>
        <w:t>При выполнении заданий необходимо следовать инструкциям в КИМ. Тексты инструкций сдвинуты вправо на два знака.</w:t>
      </w:r>
    </w:p>
    <w:p>
      <w:pPr>
        <w:pStyle w:val="1111"/>
        <w:tabs>
          <w:tab w:val="clear" w:pos="709"/>
          <w:tab w:val="left" w:pos="4707" w:leader="none"/>
        </w:tabs>
        <w:ind w:firstLine="709" w:left="0" w:right="0"/>
        <w:jc w:val="both"/>
        <w:rPr>
          <w:sz w:val="28"/>
        </w:rPr>
      </w:pPr>
      <w:r>
        <w:rPr>
          <w:b/>
          <w:sz w:val="28"/>
        </w:rPr>
        <w:t>Эти правила размещены в брошюре с КИМ сразу после Инструкции по выполнению работы – в Инструкции по заполнению тетради для записи ответов. Также там размещены правила, связанные с особенностями конкретного учебного предмета.</w:t>
      </w:r>
    </w:p>
    <w:p>
      <w:pPr>
        <w:pStyle w:val="1111"/>
        <w:tabs>
          <w:tab w:val="clear" w:pos="709"/>
          <w:tab w:val="left" w:pos="4707" w:leader="none"/>
        </w:tabs>
        <w:ind w:firstLine="709" w:left="0" w:right="0"/>
        <w:jc w:val="both"/>
        <w:rPr>
          <w:sz w:val="28"/>
        </w:rPr>
      </w:pPr>
      <w:r>
        <w:rPr>
          <w:b/>
          <w:sz w:val="28"/>
        </w:rPr>
        <w:t>На тетрадях для ответов запрещается делать какие-либо записи и пометки, не относящиеся к ответам на задания. Вы можете делать пометки в черновиках. Также обращаем ваше внимание на то, что ответы, записанные в черновиках, не проверяются.</w:t>
      </w:r>
    </w:p>
    <w:p>
      <w:pPr>
        <w:pStyle w:val="1111"/>
        <w:tabs>
          <w:tab w:val="clear" w:pos="709"/>
          <w:tab w:val="left" w:pos="4707" w:leader="none"/>
        </w:tabs>
        <w:ind w:firstLine="709" w:left="0" w:right="0"/>
        <w:jc w:val="both"/>
        <w:rPr>
          <w:sz w:val="28"/>
        </w:rPr>
      </w:pPr>
      <w:r>
        <w:rPr>
          <w:b/>
          <w:sz w:val="28"/>
        </w:rPr>
        <w:t>В случае нехватки места в тетради для ответов вы можете обратиться к нам за дополнительным листом для записи ответов. При этом в верхней строке дополнительного листа необходимо будет написать фамилию, имя, отчество участника как шрифтом Брайля, так и обычным способом.</w:t>
      </w:r>
    </w:p>
    <w:p>
      <w:pPr>
        <w:pStyle w:val="1111"/>
        <w:tabs>
          <w:tab w:val="clear" w:pos="709"/>
          <w:tab w:val="left" w:pos="4707" w:leader="none"/>
        </w:tabs>
        <w:ind w:firstLine="709" w:left="0" w:right="0"/>
        <w:jc w:val="both"/>
        <w:rPr>
          <w:sz w:val="28"/>
        </w:rPr>
      </w:pPr>
      <w:r>
        <w:rPr>
          <w:b/>
          <w:sz w:val="28"/>
        </w:rPr>
        <w:t xml:space="preserve">Каждый час мы будем объявлять время, оставшееся до конца экзамена. </w:t>
      </w:r>
    </w:p>
    <w:p>
      <w:pPr>
        <w:pStyle w:val="1111"/>
        <w:tabs>
          <w:tab w:val="clear" w:pos="709"/>
          <w:tab w:val="left" w:pos="4707" w:leader="none"/>
        </w:tabs>
        <w:ind w:firstLine="709" w:left="0" w:right="0"/>
        <w:jc w:val="both"/>
        <w:rPr>
          <w:sz w:val="28"/>
        </w:rPr>
      </w:pPr>
      <w:r>
        <w:rPr>
          <w:b/>
          <w:sz w:val="28"/>
        </w:rPr>
        <w:t>Начало выполнения экзаменационной работы:</w:t>
      </w:r>
      <w:r>
        <w:rPr>
          <w:i/>
          <w:sz w:val="28"/>
        </w:rPr>
        <w:t xml:space="preserve"> (объявить время начала) </w:t>
      </w:r>
    </w:p>
    <w:p>
      <w:pPr>
        <w:pStyle w:val="1111"/>
        <w:tabs>
          <w:tab w:val="clear" w:pos="709"/>
          <w:tab w:val="left" w:pos="4707" w:leader="none"/>
        </w:tabs>
        <w:ind w:firstLine="709" w:left="0" w:right="0"/>
        <w:jc w:val="both"/>
        <w:rPr>
          <w:sz w:val="28"/>
        </w:rPr>
      </w:pPr>
      <w:r>
        <w:rPr>
          <w:b/>
          <w:sz w:val="28"/>
        </w:rPr>
        <w:t>Окончание выполнения экзаменационной работы:</w:t>
      </w:r>
      <w:r>
        <w:rPr>
          <w:i/>
          <w:sz w:val="28"/>
        </w:rPr>
        <w:t xml:space="preserve"> (указать время)</w:t>
      </w:r>
    </w:p>
    <w:p>
      <w:pPr>
        <w:pStyle w:val="1111"/>
        <w:tabs>
          <w:tab w:val="clear" w:pos="709"/>
          <w:tab w:val="left" w:pos="4707" w:leader="none"/>
        </w:tabs>
        <w:ind w:firstLine="709" w:left="0" w:right="0"/>
        <w:jc w:val="both"/>
        <w:rPr>
          <w:sz w:val="28"/>
        </w:rPr>
      </w:pPr>
      <w:r>
        <w:rPr>
          <w:i/>
          <w:sz w:val="28"/>
        </w:rPr>
        <w:t>Запишите на доске время начала и окончания выполнения экзаменационной работы.</w:t>
      </w:r>
    </w:p>
    <w:p>
      <w:pPr>
        <w:pStyle w:val="1111"/>
        <w:tabs>
          <w:tab w:val="clear" w:pos="709"/>
          <w:tab w:val="left" w:pos="4707" w:leader="none"/>
        </w:tabs>
        <w:ind w:firstLine="709" w:left="0" w:right="0"/>
        <w:jc w:val="both"/>
        <w:rPr>
          <w:sz w:val="28"/>
        </w:rPr>
      </w:pPr>
      <w:r>
        <w:rPr>
          <w:i/>
          <w:sz w:val="28"/>
        </w:rPr>
        <w:t>Важно! Время, отведенное на инструктаж и заполнение регистрационной информации в тетради для ответов, в общее время выполнения экзаменационной работы не включается.</w:t>
      </w:r>
    </w:p>
    <w:p>
      <w:pPr>
        <w:pStyle w:val="1111"/>
        <w:tabs>
          <w:tab w:val="clear" w:pos="709"/>
          <w:tab w:val="left" w:pos="4707" w:leader="none"/>
        </w:tabs>
        <w:ind w:firstLine="709" w:left="0" w:right="0"/>
        <w:jc w:val="both"/>
        <w:rPr>
          <w:sz w:val="28"/>
        </w:rPr>
      </w:pPr>
      <w:r>
        <w:rPr>
          <w:b/>
          <w:sz w:val="28"/>
        </w:rPr>
        <w:t xml:space="preserve">Не забывайте переносить ответы из черновиков в тетрадь для ответов. Инструктаж закончен. Вы можете приступать к выполнению заданий. </w:t>
      </w:r>
    </w:p>
    <w:p>
      <w:pPr>
        <w:pStyle w:val="1111"/>
        <w:tabs>
          <w:tab w:val="clear" w:pos="709"/>
          <w:tab w:val="left" w:pos="4707" w:leader="none"/>
        </w:tabs>
        <w:ind w:firstLine="709" w:left="0" w:right="0"/>
        <w:jc w:val="both"/>
        <w:rPr>
          <w:sz w:val="28"/>
        </w:rPr>
      </w:pPr>
      <w:r>
        <w:rPr>
          <w:b/>
          <w:sz w:val="28"/>
        </w:rPr>
        <w:t>Желаем удачи!</w:t>
      </w:r>
    </w:p>
    <w:p>
      <w:pPr>
        <w:pStyle w:val="1111"/>
        <w:tabs>
          <w:tab w:val="clear" w:pos="709"/>
          <w:tab w:val="left" w:pos="4707" w:leader="none"/>
        </w:tabs>
        <w:ind w:firstLine="709" w:left="0" w:right="0"/>
        <w:jc w:val="both"/>
        <w:rPr>
          <w:sz w:val="28"/>
        </w:rPr>
      </w:pPr>
      <w:r>
        <w:rPr>
          <w:i/>
          <w:sz w:val="28"/>
        </w:rPr>
        <w:t>Объявлять время каждый час: «до конца экзамена осталось …»</w:t>
      </w:r>
    </w:p>
    <w:p>
      <w:pPr>
        <w:pStyle w:val="1111"/>
        <w:tabs>
          <w:tab w:val="clear" w:pos="709"/>
          <w:tab w:val="left" w:pos="4707" w:leader="none"/>
        </w:tabs>
        <w:ind w:firstLine="709" w:left="0" w:right="0"/>
        <w:jc w:val="both"/>
        <w:rPr>
          <w:sz w:val="28"/>
        </w:rPr>
      </w:pPr>
      <w:r>
        <w:rPr>
          <w:i/>
          <w:sz w:val="28"/>
        </w:rPr>
        <w:t>За 30 минут до окончания выполнения экзаменационной работы необходимо объявить:</w:t>
      </w:r>
    </w:p>
    <w:p>
      <w:pPr>
        <w:pStyle w:val="1111"/>
        <w:tabs>
          <w:tab w:val="clear" w:pos="709"/>
          <w:tab w:val="left" w:pos="4707" w:leader="none"/>
        </w:tabs>
        <w:ind w:firstLine="709" w:left="0" w:right="0"/>
        <w:jc w:val="both"/>
        <w:rPr>
          <w:sz w:val="28"/>
        </w:rPr>
      </w:pPr>
      <w:r>
        <w:rPr>
          <w:b/>
          <w:sz w:val="28"/>
        </w:rPr>
        <w:t>До окончания выполнения экзаменационной работы осталось 30 минут. Не забывайте переносить ответы из черновиков в тетрадь ответов.</w:t>
      </w:r>
    </w:p>
    <w:p>
      <w:pPr>
        <w:pStyle w:val="1111"/>
        <w:tabs>
          <w:tab w:val="clear" w:pos="709"/>
          <w:tab w:val="left" w:pos="4707" w:leader="none"/>
        </w:tabs>
        <w:ind w:firstLine="709" w:left="0" w:right="0"/>
        <w:jc w:val="both"/>
        <w:rPr>
          <w:sz w:val="28"/>
        </w:rPr>
      </w:pPr>
      <w:r>
        <w:rPr>
          <w:i/>
          <w:sz w:val="28"/>
        </w:rPr>
        <w:t>За 5 минут до окончания выполнения экзаменационной работы необходимо объявить:</w:t>
      </w:r>
    </w:p>
    <w:p>
      <w:pPr>
        <w:pStyle w:val="1111"/>
        <w:tabs>
          <w:tab w:val="clear" w:pos="709"/>
          <w:tab w:val="left" w:pos="4707" w:leader="none"/>
        </w:tabs>
        <w:ind w:firstLine="709" w:left="0" w:right="0"/>
        <w:jc w:val="both"/>
        <w:rPr>
          <w:sz w:val="28"/>
        </w:rPr>
      </w:pPr>
      <w:r>
        <w:rPr>
          <w:b/>
          <w:sz w:val="28"/>
        </w:rPr>
        <w:t>До окончания выполнения экзаменационной работы осталось 5 минут. Проверьте, все ли ответы вы перенесли из черновиков в тетради для ответов.</w:t>
      </w:r>
    </w:p>
    <w:p>
      <w:pPr>
        <w:pStyle w:val="1111"/>
        <w:tabs>
          <w:tab w:val="clear" w:pos="709"/>
          <w:tab w:val="left" w:pos="4707" w:leader="none"/>
        </w:tabs>
        <w:ind w:firstLine="709" w:left="0" w:right="0"/>
        <w:jc w:val="both"/>
        <w:rPr>
          <w:sz w:val="28"/>
        </w:rPr>
      </w:pPr>
      <w:r>
        <w:rPr>
          <w:i/>
          <w:sz w:val="28"/>
        </w:rPr>
        <w:t>По окончании выполнения экзаменационной работы объявить:</w:t>
      </w:r>
    </w:p>
    <w:p>
      <w:pPr>
        <w:pStyle w:val="1111"/>
        <w:tabs>
          <w:tab w:val="clear" w:pos="709"/>
          <w:tab w:val="left" w:pos="4707" w:leader="none"/>
        </w:tabs>
        <w:ind w:firstLine="709" w:left="0" w:right="0"/>
        <w:jc w:val="both"/>
        <w:rPr>
          <w:sz w:val="28"/>
        </w:rPr>
      </w:pPr>
      <w:r>
        <w:rPr/>
      </w:r>
    </w:p>
    <w:p>
      <w:pPr>
        <w:pStyle w:val="1111"/>
        <w:tabs>
          <w:tab w:val="clear" w:pos="709"/>
          <w:tab w:val="left" w:pos="4707" w:leader="none"/>
        </w:tabs>
        <w:ind w:firstLine="709" w:left="0" w:right="0"/>
        <w:jc w:val="both"/>
        <w:rPr>
          <w:sz w:val="28"/>
        </w:rPr>
      </w:pPr>
      <w:r>
        <w:rPr>
          <w:b/>
          <w:sz w:val="28"/>
        </w:rPr>
        <w:t>Выполнение экзаменационной работы окончено. Положите экзаменационные материалы на край стола вместе с конвертом с бланками. Мы пройдем и соберем ваши экзаменационные материалы.</w:t>
      </w:r>
    </w:p>
    <w:p>
      <w:pPr>
        <w:pStyle w:val="1111"/>
        <w:tabs>
          <w:tab w:val="clear" w:pos="709"/>
          <w:tab w:val="left" w:pos="4707" w:leader="none"/>
        </w:tabs>
        <w:ind w:firstLine="709" w:left="0" w:right="0"/>
        <w:jc w:val="both"/>
        <w:rPr>
          <w:sz w:val="28"/>
        </w:rPr>
      </w:pPr>
      <w:r>
        <w:rPr>
          <w:i/>
          <w:sz w:val="28"/>
        </w:rPr>
        <w:t>Организаторы осуществляют сбор экзаменационных материалов с рабочих мест участников экзамена в организованном порядке.</w:t>
      </w:r>
    </w:p>
    <w:sectPr>
      <w:headerReference w:type="default" r:id="rId2"/>
      <w:footerReference w:type="default" r:id="rId3"/>
      <w:footnotePr>
        <w:numFmt w:val="decimal"/>
      </w:footnotePr>
      <w:type w:val="nextPage"/>
      <w:pgSz w:w="11906" w:h="16838"/>
      <w:pgMar w:left="1134" w:right="851" w:gutter="0" w:header="0" w:top="879" w:footer="6" w:bottom="1134"/>
      <w:pgNumType w:start="289"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empora LGC Uni">
    <w:charset w:val="01"/>
    <w:family w:val="roman"/>
    <w:pitch w:val="variable"/>
  </w:font>
  <w:font w:name="Microsoft Sans Serif">
    <w:charset w:val="01"/>
    <w:family w:val="roman"/>
    <w:pitch w:val="variable"/>
  </w:font>
  <w:font w:name="Times New Roman">
    <w:charset w:val="01"/>
    <w:family w:val="roman"/>
    <w:pitch w:val="variable"/>
  </w:font>
  <w:font w:name="Calibri Light">
    <w:charset w:val="01"/>
    <w:family w:val="roman"/>
    <w:pitch w:val="variable"/>
  </w:font>
  <w:font w:name="Arial">
    <w:charset w:val="01"/>
    <w:family w:val="roman"/>
    <w:pitch w:val="variable"/>
  </w:font>
  <w:font w:name="Open Sans">
    <w:charset w:val="01"/>
    <w:family w:val="roman"/>
    <w:pitch w:val="variable"/>
  </w:font>
  <w:font w:name="Segoe UI">
    <w:charset w:val="01"/>
    <w:family w:val="roman"/>
    <w:pitch w:val="variable"/>
  </w:font>
  <w:font w:name="XO Thames">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exact" w:line="1"/>
      <w:rPr/>
    </w:pPr>
    <w:r>
      <w:rPr/>
      <mc:AlternateContent>
        <mc:Choice Requires="wps">
          <w:drawing>
            <wp:anchor behindDoc="1" distT="0" distB="0" distL="0" distR="0" simplePos="0" locked="0" layoutInCell="0" allowOverlap="1" relativeHeight="68">
              <wp:simplePos x="0" y="0"/>
              <wp:positionH relativeFrom="page">
                <wp:posOffset>7030085</wp:posOffset>
              </wp:positionH>
              <wp:positionV relativeFrom="page">
                <wp:posOffset>10039350</wp:posOffset>
              </wp:positionV>
              <wp:extent cx="128270" cy="217805"/>
              <wp:effectExtent l="0" t="635" r="0" b="0"/>
              <wp:wrapNone/>
              <wp:docPr id="3" name="Picture 2"/>
              <a:graphic xmlns:a="http://schemas.openxmlformats.org/drawingml/2006/main">
                <a:graphicData uri="http://schemas.microsoft.com/office/word/2010/wordprocessingShape">
                  <wps:wsp>
                    <wps:cNvSpPr/>
                    <wps:spPr>
                      <a:xfrm>
                        <a:off x="0" y="0"/>
                        <a:ext cx="128160" cy="217800"/>
                      </a:xfrm>
                      <a:prstGeom prst="rect">
                        <a:avLst/>
                      </a:prstGeom>
                      <a:noFill/>
                      <a:ln w="0">
                        <a:noFill/>
                      </a:ln>
                    </wps:spPr>
                    <wps:style>
                      <a:lnRef idx="0"/>
                      <a:fillRef idx="0"/>
                      <a:effectRef idx="0"/>
                      <a:fontRef idx="minor"/>
                    </wps:style>
                    <wps:txbx>
                      <w:txbxContent>
                        <w:p>
                          <w:pPr>
                            <w:pStyle w:val="2112"/>
                            <w:rPr/>
                          </w:pPr>
                          <w:r>
                            <w:rPr/>
                          </w:r>
                        </w:p>
                      </w:txbxContent>
                    </wps:txbx>
                    <wps:bodyPr lIns="36360" rIns="36360" tIns="36360" bIns="36360" anchor="t">
                      <a:spAutoFit/>
                    </wps:bodyPr>
                  </wps:wsp>
                </a:graphicData>
              </a:graphic>
            </wp:anchor>
          </w:drawing>
        </mc:Choice>
        <mc:Fallback>
          <w:pict>
            <v:rect id="shape_0" ID="Picture 2" path="m0,0l-2147483645,0l-2147483645,-2147483646l0,-2147483646xe" stroked="f" o:allowincell="f" style="position:absolute;margin-left:553.55pt;margin-top:790.5pt;width:10.05pt;height:17.1pt;mso-wrap-style:none;v-text-anchor:middle;mso-position-horizontal-relative:page;mso-position-vertical-relative:page">
              <v:fill o:detectmouseclick="t" on="false"/>
              <v:stroke color="#3465a4" joinstyle="round" endcap="flat"/>
              <v:textbox>
                <w:txbxContent>
                  <w:p>
                    <w:pPr>
                      <w:pStyle w:val="2112"/>
                      <w:rPr/>
                    </w:pPr>
                    <w:r>
                      <w:rPr/>
                    </w:r>
                  </w:p>
                </w:txbxContent>
              </v:textbox>
              <w10:wrap type="none"/>
            </v:rect>
          </w:pict>
        </mc:Fallback>
      </mc:AlternateContent>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11"/>
        <w:ind w:firstLine="284" w:left="0" w:right="0"/>
        <w:jc w:val="both"/>
        <w:rPr/>
      </w:pPr>
      <w:r>
        <w:rPr>
          <w:rStyle w:val="Style6"/>
        </w:rPr>
        <w:footnoteRef/>
      </w:r>
      <w:r>
        <w:rPr/>
        <w:t xml:space="preserve"> </w:t>
      </w:r>
      <w:r>
        <w:rPr>
          <w:rFonts w:ascii="Times New Roman" w:hAnsi="Times New Roman"/>
        </w:rPr>
        <w:t>Например, в одной аудитории могут находиться слабослышащие участники экзамена и участники экзамена с тяжелыми нарушениями речи, слабослышащие участники экзамена и участники экзамена с расстройствами аутистического спектра.</w:t>
      </w:r>
    </w:p>
  </w:footnote>
  <w:footnote w:id="3">
    <w:p>
      <w:pPr>
        <w:pStyle w:val="Footnote11"/>
        <w:ind w:firstLine="284" w:left="0" w:right="0"/>
        <w:jc w:val="both"/>
        <w:rPr/>
      </w:pPr>
      <w:r>
        <w:rPr>
          <w:rStyle w:val="Style6"/>
        </w:rPr>
        <w:footnoteRef/>
      </w:r>
      <w:r>
        <w:rPr/>
        <w:t xml:space="preserve"> </w:t>
      </w:r>
      <w:r>
        <w:rPr/>
        <w:t>А</w:t>
      </w:r>
      <w:r>
        <w:rPr>
          <w:rFonts w:ascii="Times New Roman" w:hAnsi="Times New Roman"/>
        </w:rPr>
        <w:t>удитории оборудуются средствами видеонаблюдения без трансляции проведения экзаменов в сети «Интернет» по согласованию с Рособрнадзором. Информацию о количестве и характеристике таких аудиторий Министерство направляет в Рособрнадзор для последующего согласования.</w:t>
      </w:r>
    </w:p>
  </w:footnote>
  <w:footnote w:id="4">
    <w:p>
      <w:pPr>
        <w:pStyle w:val="Footnote11"/>
        <w:ind w:firstLine="284" w:left="0" w:right="0"/>
        <w:rPr/>
      </w:pPr>
      <w:r>
        <w:rPr>
          <w:rStyle w:val="Style6"/>
        </w:rPr>
        <w:footnoteRef/>
      </w:r>
      <w:r>
        <w:rPr/>
        <w:t xml:space="preserve"> </w:t>
      </w:r>
      <w:r>
        <w:rPr>
          <w:rFonts w:ascii="Times New Roman" w:hAnsi="Times New Roman"/>
        </w:rPr>
        <w:t>Например, собственными индивидуальными средствами слухопротезирования.</w:t>
      </w:r>
    </w:p>
  </w:footnote>
  <w:footnote w:id="5">
    <w:p>
      <w:pPr>
        <w:pStyle w:val="Footnote11"/>
        <w:spacing w:lineRule="auto" w:line="240"/>
        <w:ind w:firstLine="284" w:left="0" w:right="0"/>
        <w:rPr/>
      </w:pPr>
      <w:r>
        <w:rPr>
          <w:rStyle w:val="Style6"/>
        </w:rPr>
        <w:footnoteRef/>
      </w:r>
      <w:r>
        <w:rPr/>
        <w:t xml:space="preserve"> </w:t>
      </w:r>
      <w:r>
        <w:rPr>
          <w:rFonts w:ascii="Times New Roman" w:hAnsi="Times New Roman"/>
        </w:rPr>
        <w:t>Копирование ЭМ в увеличенном размере осуществляется в день экзамена в присутствии члена(-ов) ГЭК.</w:t>
      </w:r>
    </w:p>
  </w:footnote>
  <w:footnote w:id="6">
    <w:p>
      <w:pPr>
        <w:pStyle w:val="Normal"/>
        <w:spacing w:lineRule="auto" w:line="240" w:before="2" w:after="0"/>
        <w:ind w:firstLine="284" w:left="0" w:right="82"/>
        <w:jc w:val="both"/>
        <w:rPr/>
      </w:pPr>
      <w:r>
        <w:rPr>
          <w:rStyle w:val="Style6"/>
        </w:rPr>
        <w:footnoteRef/>
      </w:r>
      <w:r>
        <w:rPr/>
        <w:t xml:space="preserve"> </w:t>
      </w:r>
      <w:r>
        <w:rPr>
          <w:rFonts w:ascii="Times New Roman" w:hAnsi="Times New Roman"/>
          <w:sz w:val="20"/>
        </w:rPr>
        <w:t>Возможно использование индивидуальных светодиодных средств освещения (настольные лампы) с регулировкой освещения в динамическом диапазоне до 600 люкс, но не менее 300 люкс при отсутствии динамической регулировки.</w:t>
      </w:r>
    </w:p>
  </w:footnote>
  <w:footnote w:id="7">
    <w:p>
      <w:pPr>
        <w:pStyle w:val="Normal"/>
        <w:spacing w:lineRule="auto" w:line="240"/>
        <w:ind w:firstLine="284" w:left="0" w:right="0"/>
        <w:jc w:val="both"/>
        <w:rPr/>
      </w:pPr>
      <w:r>
        <w:rPr>
          <w:rStyle w:val="Style6"/>
        </w:rPr>
        <w:footnoteRef/>
      </w:r>
      <w:r>
        <w:rPr/>
        <w:t xml:space="preserve"> </w:t>
      </w:r>
      <w:r>
        <w:rPr>
          <w:rFonts w:ascii="Times New Roman" w:hAnsi="Times New Roman"/>
          <w:sz w:val="20"/>
        </w:rPr>
        <w:t>В ППЭ, организованных на базе образовательных организаций, имеющих доступную среду для обучающихся с нарушением опорно-двигательного аппарата (подъемники, лифты), специализированная (отдельная) аудитория может быть организована выше первого этажа.</w:t>
      </w:r>
    </w:p>
  </w:footnote>
  <w:footnote w:id="8">
    <w:p>
      <w:pPr>
        <w:pStyle w:val="Normal"/>
        <w:spacing w:lineRule="auto" w:line="240"/>
        <w:ind w:firstLine="284" w:left="0" w:right="0"/>
        <w:jc w:val="both"/>
        <w:rPr/>
      </w:pPr>
      <w:r>
        <w:rPr>
          <w:rStyle w:val="Style6"/>
        </w:rPr>
        <w:footnoteRef/>
      </w:r>
      <w:r>
        <w:rPr/>
        <w:t xml:space="preserve"> </w:t>
      </w:r>
      <w:r>
        <w:rPr>
          <w:rFonts w:ascii="Times New Roman" w:hAnsi="Times New Roman"/>
          <w:sz w:val="20"/>
        </w:rPr>
        <w:t>При этом количество участников экзамена по каждому учебному предмету определяется исходя из общей площади аудитории и с учетом того, что участники экзаменов и (или) их ассистенты не будут мешать и (или) отвлекать других участников экзаменов от выполнения ими ЭР.</w:t>
      </w:r>
    </w:p>
  </w:footnote>
  <w:footnote w:id="9">
    <w:p>
      <w:pPr>
        <w:pStyle w:val="Footnote11"/>
        <w:spacing w:lineRule="auto" w:line="240"/>
        <w:ind w:firstLine="284" w:left="0" w:right="0"/>
        <w:jc w:val="both"/>
        <w:rPr/>
      </w:pPr>
      <w:r>
        <w:rPr>
          <w:rStyle w:val="Style6"/>
        </w:rPr>
        <w:footnoteRef/>
      </w:r>
      <w:r>
        <w:rPr/>
        <w:t xml:space="preserve"> </w:t>
      </w:r>
      <w:r>
        <w:rPr>
          <w:rFonts w:ascii="Times New Roman" w:hAnsi="Times New Roman"/>
        </w:rPr>
        <w:t>Предварительно следует заполнить отдельные пропуски по тексту указанной инструкции (например, плановая дата ознакомления с результатами и др.).</w:t>
      </w:r>
    </w:p>
  </w:footnote>
  <w:footnote w:id="10">
    <w:p>
      <w:pPr>
        <w:pStyle w:val="Footnote11"/>
        <w:ind w:firstLine="284" w:left="0" w:right="0"/>
        <w:jc w:val="both"/>
        <w:rPr/>
      </w:pPr>
      <w:r>
        <w:rPr>
          <w:rStyle w:val="Style6"/>
        </w:rPr>
        <w:footnoteRef/>
      </w:r>
      <w:r>
        <w:rPr/>
        <w:t xml:space="preserve"> </w:t>
      </w:r>
      <w:r>
        <w:rPr>
          <w:rFonts w:ascii="Times New Roman" w:hAnsi="Times New Roman"/>
        </w:rPr>
        <w:t>О необходимости организовать проведение ГИА на дому, а также поименованные специальные условия (при необходимости).</w:t>
      </w:r>
    </w:p>
  </w:footnote>
  <w:footnote w:id="11">
    <w:p>
      <w:pPr>
        <w:pStyle w:val="Footnote11"/>
        <w:ind w:firstLine="284" w:left="0" w:right="0"/>
        <w:rPr/>
      </w:pPr>
      <w:r>
        <w:rPr>
          <w:rStyle w:val="Style6"/>
        </w:rPr>
        <w:footnoteRef/>
      </w:r>
      <w:r>
        <w:rPr/>
        <w:t xml:space="preserve"> </w:t>
      </w:r>
      <w:r>
        <w:rPr>
          <w:rFonts w:ascii="Times New Roman" w:hAnsi="Times New Roman"/>
        </w:rPr>
        <w:t>Ассистент относится к категории лиц, привлекаемых к проведению ГИА. Сведения об ассистентах вносятся в РИС в установленном порядке.</w:t>
      </w:r>
    </w:p>
  </w:footnote>
  <w:footnote w:id="12">
    <w:p>
      <w:pPr>
        <w:pStyle w:val="Footnote11"/>
        <w:ind w:firstLine="284" w:left="0" w:right="0"/>
        <w:jc w:val="both"/>
        <w:rPr/>
      </w:pPr>
      <w:r>
        <w:rPr>
          <w:rStyle w:val="Style6"/>
        </w:rPr>
        <w:footnoteRef/>
      </w:r>
      <w:r>
        <w:rPr/>
        <w:t xml:space="preserve"> </w:t>
      </w:r>
      <w:r>
        <w:rPr>
          <w:rFonts w:ascii="Times New Roman" w:hAnsi="Times New Roman"/>
        </w:rPr>
        <w:t>При переносе ответов с бланков увеличенного размера (ДБО увеличенного размера) на бланки ответов (ДБО) стандартного размера, – в поле «Подпись участника» ассистент пишет «Копия верна» и ставит свою подпись.</w:t>
      </w:r>
    </w:p>
  </w:footnote>
  <w:footnote w:id="13">
    <w:p>
      <w:pPr>
        <w:pStyle w:val="Footnote11"/>
        <w:ind w:firstLine="284" w:left="0" w:right="0"/>
        <w:jc w:val="both"/>
        <w:rPr/>
      </w:pPr>
      <w:r>
        <w:rPr>
          <w:rStyle w:val="Style6"/>
        </w:rPr>
        <w:footnoteRef/>
      </w:r>
      <w:r>
        <w:rPr/>
        <w:t xml:space="preserve"> </w:t>
      </w:r>
      <w:r>
        <w:rPr>
          <w:rFonts w:ascii="Times New Roman" w:hAnsi="Times New Roman"/>
        </w:rPr>
        <w:t>Сообщается во время подачи заявления об участии в ГИА.</w:t>
      </w:r>
    </w:p>
  </w:footnote>
  <w:footnote w:id="14">
    <w:p>
      <w:pPr>
        <w:pStyle w:val="Footnote11"/>
        <w:ind w:firstLine="284" w:left="0" w:right="0"/>
        <w:jc w:val="both"/>
        <w:rPr/>
      </w:pPr>
      <w:r>
        <w:rPr>
          <w:rStyle w:val="Style6"/>
        </w:rPr>
        <w:footnoteRef/>
      </w:r>
      <w:r>
        <w:rPr/>
        <w:t xml:space="preserve"> </w:t>
      </w:r>
      <w:r>
        <w:rPr>
          <w:rFonts w:ascii="Times New Roman" w:hAnsi="Times New Roman"/>
        </w:rPr>
        <w:t>Допускается не масштабировать бланки регистрации в случае их заполнения ассистентами.</w:t>
      </w:r>
    </w:p>
  </w:footnote>
  <w:footnote w:id="15">
    <w:p>
      <w:pPr>
        <w:pStyle w:val="Footnote11"/>
        <w:ind w:firstLine="284" w:left="0" w:right="0"/>
        <w:jc w:val="both"/>
        <w:rPr/>
      </w:pPr>
      <w:r>
        <w:rPr>
          <w:rStyle w:val="Style6"/>
        </w:rPr>
        <w:footnoteRef/>
      </w:r>
      <w:r>
        <w:rPr/>
        <w:t xml:space="preserve"> </w:t>
      </w:r>
      <w:r>
        <w:rPr>
          <w:rFonts w:ascii="Times New Roman" w:hAnsi="Times New Roman"/>
        </w:rPr>
        <w:t>Предварительно следует заполнить отдельные пропуски по тексту указанной инструкции (например, плановая дата ознакомления с результатами и др.).</w:t>
      </w:r>
    </w:p>
  </w:footnote>
  <w:footnote w:id="16">
    <w:p>
      <w:pPr>
        <w:pStyle w:val="Footnote11"/>
        <w:ind w:firstLine="284" w:left="0" w:right="0"/>
        <w:jc w:val="both"/>
        <w:rPr/>
      </w:pPr>
      <w:r>
        <w:rPr>
          <w:rStyle w:val="Style6"/>
        </w:rPr>
        <w:footnoteRef/>
      </w:r>
      <w:r>
        <w:rPr/>
        <w:t xml:space="preserve"> </w:t>
      </w:r>
      <w:r>
        <w:rPr>
          <w:rFonts w:ascii="Times New Roman" w:hAnsi="Times New Roman"/>
        </w:rPr>
        <w:t>Предварительно следует заполнить отдельные пропуски по тексту указанной инструкции (например, плановая дата ознакомления с результатами и др.).</w:t>
      </w:r>
    </w:p>
  </w:footnote>
  <w:footnote w:id="17">
    <w:p>
      <w:pPr>
        <w:pStyle w:val="Footnote11"/>
        <w:ind w:firstLine="284" w:left="0" w:right="0"/>
        <w:jc w:val="both"/>
        <w:rPr/>
      </w:pPr>
      <w:r>
        <w:rPr>
          <w:rStyle w:val="Style6"/>
        </w:rPr>
        <w:footnoteRef/>
      </w:r>
      <w:r>
        <w:rPr/>
        <w:t xml:space="preserve"> </w:t>
      </w:r>
      <w:r>
        <w:rPr>
          <w:rFonts w:ascii="Times New Roman" w:hAnsi="Times New Roman"/>
        </w:rPr>
        <w:t>Не распространяются на проведение КЕГЭ</w:t>
      </w:r>
    </w:p>
  </w:footnote>
  <w:footnote w:id="18">
    <w:p>
      <w:pPr>
        <w:pStyle w:val="Normal"/>
        <w:spacing w:lineRule="exact" w:line="252" w:before="5" w:after="0"/>
        <w:ind w:firstLine="284" w:left="0" w:right="103"/>
        <w:jc w:val="both"/>
        <w:rPr/>
      </w:pPr>
      <w:r>
        <w:rPr>
          <w:rStyle w:val="Style6"/>
        </w:rPr>
        <w:footnoteRef/>
      </w:r>
      <w:r>
        <w:rPr/>
        <w:t xml:space="preserve"> </w:t>
      </w:r>
      <w:r>
        <w:rPr>
          <w:rFonts w:ascii="Times New Roman" w:hAnsi="Times New Roman"/>
          <w:sz w:val="20"/>
        </w:rPr>
        <w:t>В случае если участник экзамена по состоянию здоровья не может поставить личную подпись ассистент указанного участника экзамена или в случае его отсутствия – ответственный организатор в аудитории ставит свою подпись</w:t>
      </w:r>
    </w:p>
  </w:footnote>
  <w:footnote w:id="19">
    <w:p>
      <w:pPr>
        <w:pStyle w:val="Footnote11"/>
        <w:ind w:firstLine="284" w:left="0" w:right="0"/>
        <w:rPr/>
      </w:pPr>
      <w:r>
        <w:rPr>
          <w:rStyle w:val="Style6"/>
        </w:rPr>
        <w:footnoteRef/>
      </w:r>
      <w:r>
        <w:rPr/>
        <w:t xml:space="preserve"> </w:t>
      </w:r>
      <w:r>
        <w:rPr>
          <w:rFonts w:ascii="Times New Roman" w:hAnsi="Times New Roman"/>
        </w:rPr>
        <w:t>Присутствие иных лиц в аудитории, в том числе участников экзамена, не требуется.</w:t>
      </w:r>
    </w:p>
  </w:footnote>
  <w:footnote w:id="20">
    <w:p>
      <w:pPr>
        <w:pStyle w:val="Footnote11"/>
        <w:ind w:firstLine="284" w:left="0" w:right="0"/>
        <w:rPr/>
      </w:pPr>
      <w:r>
        <w:rPr>
          <w:rStyle w:val="Style6"/>
        </w:rPr>
        <w:footnoteRef/>
      </w:r>
      <w:r>
        <w:rPr/>
        <w:t xml:space="preserve"> </w:t>
      </w:r>
      <w:r>
        <w:rPr>
          <w:rFonts w:ascii="Times New Roman" w:hAnsi="Times New Roman"/>
        </w:rPr>
        <w:t>Присутствие иных лиц в аудитории, в том числе участников экзамена, не требуется.</w:t>
      </w:r>
    </w:p>
  </w:footnote>
  <w:footnote w:id="21">
    <w:p>
      <w:pPr>
        <w:pStyle w:val="Footnote11"/>
        <w:ind w:firstLine="284" w:left="0" w:right="0"/>
        <w:rPr/>
      </w:pPr>
      <w:r>
        <w:rPr>
          <w:rStyle w:val="Style6"/>
        </w:rPr>
        <w:footnoteRef/>
      </w:r>
      <w:r>
        <w:rPr/>
        <w:t xml:space="preserve"> </w:t>
      </w:r>
      <w:r>
        <w:rPr>
          <w:rFonts w:ascii="Times New Roman" w:hAnsi="Times New Roman"/>
        </w:rPr>
        <w:t>Не распространяется на проведение КЕГЭ</w:t>
      </w:r>
    </w:p>
  </w:footnote>
  <w:footnote w:id="22">
    <w:p>
      <w:pPr>
        <w:pStyle w:val="Footnote11"/>
        <w:ind w:firstLine="284" w:left="0" w:right="0"/>
        <w:rPr/>
      </w:pPr>
      <w:r>
        <w:rPr>
          <w:rStyle w:val="Style6"/>
        </w:rPr>
        <w:footnoteRef/>
      </w:r>
      <w:r>
        <w:rPr/>
        <w:t xml:space="preserve"> </w:t>
      </w:r>
      <w:r>
        <w:rPr>
          <w:rFonts w:ascii="Times New Roman" w:hAnsi="Times New Roman"/>
        </w:rPr>
        <w:t>Без использования технологии печати полного комплекта ИК.</w:t>
      </w:r>
    </w:p>
  </w:footnote>
  <w:footnote w:id="23">
    <w:p>
      <w:pPr>
        <w:pStyle w:val="Footnote11"/>
        <w:ind w:firstLine="284" w:left="0" w:right="0"/>
        <w:jc w:val="both"/>
        <w:rPr/>
      </w:pPr>
      <w:r>
        <w:rPr>
          <w:rStyle w:val="Style6"/>
        </w:rPr>
        <w:footnoteRef/>
      </w:r>
      <w:r>
        <w:rPr/>
        <w:t xml:space="preserve"> </w:t>
      </w:r>
      <w:r>
        <w:rPr>
          <w:rFonts w:ascii="Times New Roman" w:hAnsi="Times New Roman"/>
        </w:rPr>
        <w:t>Не распространяется на проведение КЕГЭ.</w:t>
      </w:r>
    </w:p>
  </w:footnote>
  <w:footnote w:id="24">
    <w:p>
      <w:pPr>
        <w:pStyle w:val="Footnote11"/>
        <w:ind w:firstLine="284" w:left="0" w:right="0"/>
        <w:jc w:val="both"/>
        <w:rPr/>
      </w:pPr>
      <w:r>
        <w:rPr>
          <w:rStyle w:val="Style6"/>
        </w:rPr>
        <w:footnoteRef/>
      </w:r>
      <w:r>
        <w:rPr/>
        <w:t xml:space="preserve"> </w:t>
      </w:r>
      <w:r>
        <w:rPr>
          <w:rFonts w:ascii="Times New Roman" w:hAnsi="Times New Roman"/>
        </w:rPr>
        <w:t>В случае сканирования ЭР участников экзаменов в Штабе ППЭ или аудиториях неиспользованные и использованные ЭМ, электронные носители с файлами, содержащими ответы участников экзаменов на задания КИМ (при наличии), и использованные черновики хранятся в ППЭ в сроки, установленные Министерством, по истечении установленных сроков – направляются в места, определенные Министерством, для обеспечения их хранения. Использованные черновики уничтожаются на ППЭ в сроки, установленные Министерством.</w:t>
      </w:r>
    </w:p>
  </w:footnote>
  <w:footnote w:id="25">
    <w:p>
      <w:pPr>
        <w:pStyle w:val="Footnote11"/>
        <w:ind w:firstLine="284" w:left="0" w:right="0"/>
        <w:jc w:val="both"/>
        <w:rPr/>
      </w:pPr>
      <w:r>
        <w:rPr>
          <w:rStyle w:val="Style6"/>
        </w:rPr>
        <w:footnoteRef/>
      </w:r>
      <w:r>
        <w:rPr/>
        <w:t xml:space="preserve"> </w:t>
      </w:r>
      <w:r>
        <w:rPr>
          <w:rFonts w:ascii="Times New Roman" w:hAnsi="Times New Roman"/>
        </w:rPr>
        <w:t>Допускается соотношение: два тифлопереводчика на одну экзаменационную работу.</w:t>
      </w:r>
    </w:p>
  </w:footnote>
  <w:footnote w:id="26">
    <w:p>
      <w:pPr>
        <w:pStyle w:val="Footnote11"/>
        <w:ind w:firstLine="284" w:left="0" w:right="0"/>
        <w:jc w:val="both"/>
        <w:rPr/>
      </w:pPr>
      <w:r>
        <w:rPr>
          <w:rStyle w:val="Style6"/>
        </w:rPr>
        <w:footnoteRef/>
      </w:r>
      <w:r>
        <w:rPr/>
        <w:t xml:space="preserve"> </w:t>
      </w:r>
      <w:r>
        <w:rPr>
          <w:rFonts w:ascii="Times New Roman" w:hAnsi="Times New Roman"/>
        </w:rPr>
        <w:t>Состав Комиссии формируется с учетом отсутствия у представителей, предполагаемых для включения в состав Комиссии, конфликта интересов</w:t>
      </w:r>
    </w:p>
  </w:footnote>
  <w:footnote w:id="27">
    <w:p>
      <w:pPr>
        <w:pStyle w:val="Footnote11"/>
        <w:ind w:firstLine="284" w:left="0" w:right="0"/>
        <w:rPr/>
      </w:pPr>
      <w:r>
        <w:rPr>
          <w:rStyle w:val="Style6"/>
        </w:rPr>
        <w:footnoteRef/>
      </w:r>
      <w:r>
        <w:rPr/>
        <w:t xml:space="preserve"> </w:t>
      </w:r>
      <w:r>
        <w:rPr>
          <w:rFonts w:ascii="Times New Roman" w:hAnsi="Times New Roman"/>
        </w:rPr>
        <w:t>Не распространяется на проведение КЕГЭ</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mc:AlternateContent>
        <mc:Choice Requires="wps">
          <w:drawing>
            <wp:anchor behindDoc="0" distT="0" distB="0" distL="0" distR="0" simplePos="0" locked="0" layoutInCell="0" allowOverlap="1" relativeHeight="136">
              <wp:simplePos x="0" y="0"/>
              <wp:positionH relativeFrom="margin">
                <wp:align>center</wp:align>
              </wp:positionH>
              <wp:positionV relativeFrom="paragraph">
                <wp:posOffset>635</wp:posOffset>
              </wp:positionV>
              <wp:extent cx="6299835" cy="612140"/>
              <wp:effectExtent l="0" t="0" r="0" b="0"/>
              <wp:wrapSquare wrapText="bothSides"/>
              <wp:docPr id="1" name="Picture 1"/>
              <a:graphic xmlns:a="http://schemas.openxmlformats.org/drawingml/2006/main">
                <a:graphicData uri="http://schemas.microsoft.com/office/word/2010/wordprocessingShape">
                  <wps:wsp>
                    <wps:cNvSpPr/>
                    <wps:spPr>
                      <a:xfrm>
                        <a:off x="0" y="0"/>
                        <a:ext cx="6300000" cy="612000"/>
                      </a:xfrm>
                      <a:prstGeom prst="rect">
                        <a:avLst/>
                      </a:prstGeom>
                      <a:noFill/>
                      <a:ln w="0">
                        <a:noFill/>
                      </a:ln>
                    </wps:spPr>
                    <wps:style>
                      <a:lnRef idx="0"/>
                      <a:fillRef idx="0"/>
                      <a:effectRef idx="0"/>
                      <a:fontRef idx="minor"/>
                    </wps:style>
                    <wps:txbx>
                      <w:txbxContent>
                        <w:p>
                          <w:pPr>
                            <w:pStyle w:val="Normal"/>
                            <w:rPr>
                              <w:rFonts w:ascii="Times New Roman" w:hAnsi="Times New Roman"/>
                              <w:sz w:val="28"/>
                            </w:rPr>
                          </w:pPr>
                          <w:r>
                            <w:rPr>
                              <w:rFonts w:ascii="Times New Roman" w:hAnsi="Times New Roman"/>
                              <w:sz w:val="28"/>
                            </w:rPr>
                          </w:r>
                        </w:p>
                        <w:p>
                          <w:pPr>
                            <w:pStyle w:val="Normal"/>
                            <w:rPr>
                              <w:rFonts w:ascii="Times New Roman" w:hAnsi="Times New Roman"/>
                              <w:sz w:val="28"/>
                            </w:rPr>
                          </w:pPr>
                          <w:r>
                            <w:rPr>
                              <w:rFonts w:ascii="Times New Roman" w:hAnsi="Times New Roman"/>
                              <w:sz w:val="28"/>
                            </w:rPr>
                          </w:r>
                        </w:p>
                        <w:p>
                          <w:pPr>
                            <w:pStyle w:val="Normal"/>
                            <w:rPr>
                              <w:rFonts w:ascii="Times New Roman" w:hAnsi="Times New Roman"/>
                              <w:sz w:val="28"/>
                            </w:rPr>
                          </w:pPr>
                          <w:r>
                            <w:rPr>
                              <w:rFonts w:ascii="Times New Roman" w:hAnsi="Times New Roman"/>
                              <w:sz w:val="28"/>
                            </w:rPr>
                          </w:r>
                        </w:p>
                      </w:txbxContent>
                    </wps:txbx>
                    <wps:bodyPr lIns="0" rIns="0" tIns="0" bIns="0" anchor="t">
                      <a:spAutoFit/>
                    </wps:bodyPr>
                  </wps:wsp>
                </a:graphicData>
              </a:graphic>
            </wp:anchor>
          </w:drawing>
        </mc:Choice>
        <mc:Fallback>
          <w:pict>
            <v:rect id="shape_0" ID="Picture 1" path="m0,0l-2147483645,0l-2147483645,-2147483646l0,-2147483646xe" stroked="f" o:allowincell="f" style="position:absolute;margin-left:-0.05pt;margin-top:0.05pt;width:496pt;height:48.15pt;mso-wrap-style:square;v-text-anchor:top;mso-position-horizontal:center;mso-position-horizontal-relative:margin">
              <v:fill o:detectmouseclick="t" on="false"/>
              <v:stroke color="#3465a4" joinstyle="round" endcap="flat"/>
              <v:textbox>
                <w:txbxContent>
                  <w:p>
                    <w:pPr>
                      <w:pStyle w:val="Normal"/>
                      <w:rPr>
                        <w:rFonts w:ascii="Times New Roman" w:hAnsi="Times New Roman"/>
                        <w:sz w:val="28"/>
                      </w:rPr>
                    </w:pPr>
                    <w:r>
                      <w:rPr>
                        <w:rFonts w:ascii="Times New Roman" w:hAnsi="Times New Roman"/>
                        <w:sz w:val="28"/>
                      </w:rPr>
                    </w:r>
                  </w:p>
                  <w:p>
                    <w:pPr>
                      <w:pStyle w:val="Normal"/>
                      <w:rPr>
                        <w:rFonts w:ascii="Times New Roman" w:hAnsi="Times New Roman"/>
                        <w:sz w:val="28"/>
                      </w:rPr>
                    </w:pPr>
                    <w:r>
                      <w:rPr>
                        <w:rFonts w:ascii="Times New Roman" w:hAnsi="Times New Roman"/>
                        <w:sz w:val="28"/>
                      </w:rPr>
                    </w:r>
                  </w:p>
                  <w:p>
                    <w:pPr>
                      <w:pStyle w:val="Normal"/>
                      <w:rPr>
                        <w:rFonts w:ascii="Times New Roman" w:hAnsi="Times New Roman"/>
                        <w:sz w:val="28"/>
                      </w:rPr>
                    </w:pPr>
                    <w:r>
                      <w:rPr>
                        <w:rFonts w:ascii="Times New Roman" w:hAnsi="Times New Roman"/>
                        <w:sz w:val="28"/>
                      </w:rPr>
                    </w:r>
                  </w:p>
                </w:txbxContent>
              </v:textbox>
              <w10:wrap type="square"/>
            </v:rect>
          </w:pict>
        </mc:Fallback>
      </mc:AlternateContent>
    </w:r>
    <w:r>
      <mc:AlternateContent>
        <mc:Choice Requires="wps">
          <w:drawing>
            <wp:anchor behindDoc="0" distT="0" distB="0" distL="0" distR="0" simplePos="0" locked="0" layoutInCell="0" allowOverlap="1" relativeHeight="171">
              <wp:simplePos x="0" y="0"/>
              <wp:positionH relativeFrom="column">
                <wp:posOffset>2777490</wp:posOffset>
              </wp:positionH>
              <wp:positionV relativeFrom="paragraph">
                <wp:posOffset>240665</wp:posOffset>
              </wp:positionV>
              <wp:extent cx="744220" cy="204470"/>
              <wp:effectExtent l="0" t="0" r="0" b="0"/>
              <wp:wrapSquare wrapText="bothSides"/>
              <wp:docPr id="2" name="Врезка2"/>
              <a:graphic xmlns:a="http://schemas.openxmlformats.org/drawingml/2006/main">
                <a:graphicData uri="http://schemas.microsoft.com/office/word/2010/wordprocessingShape">
                  <wps:wsp>
                    <wps:cNvSpPr txBox="1"/>
                    <wps:spPr>
                      <a:xfrm>
                        <a:off x="0" y="0"/>
                        <a:ext cx="744220" cy="204470"/>
                      </a:xfrm>
                      <a:prstGeom prst="rect"/>
                      <a:solidFill>
                        <a:srgbClr val="FFFFFF">
                          <a:alpha val="0"/>
                        </a:srgbClr>
                      </a:solidFill>
                    </wps:spPr>
                    <wps:txbx>
                      <w:txbxContent>
                        <w:p>
                          <w:pPr>
                            <w:pStyle w:val="Normal"/>
                            <w:pBd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 ARABIC </w:instrText>
                          </w:r>
                          <w:r>
                            <w:rPr>
                              <w:sz w:val="28"/>
                              <w:szCs w:val="28"/>
                              <w:rFonts w:ascii="Times New Roman" w:hAnsi="Times New Roman"/>
                            </w:rPr>
                            <w:fldChar w:fldCharType="separate"/>
                          </w:r>
                          <w:r>
                            <w:rPr>
                              <w:sz w:val="28"/>
                              <w:szCs w:val="28"/>
                              <w:rFonts w:ascii="Times New Roman" w:hAnsi="Times New Roman"/>
                            </w:rPr>
                            <w:t>322</w:t>
                          </w:r>
                          <w:r>
                            <w:rPr>
                              <w:sz w:val="28"/>
                              <w:szCs w:val="28"/>
                              <w:rFonts w:ascii="Times New Roman" w:hAnsi="Times New Roman"/>
                            </w:rPr>
                            <w:fldChar w:fldCharType="end"/>
                          </w:r>
                        </w:p>
                      </w:txbxContent>
                    </wps:txbx>
                    <wps:bodyPr anchor="t" lIns="0" tIns="0" rIns="0" bIns="0">
                      <a:spAutoFit/>
                    </wps:bodyPr>
                  </wps:wsp>
                </a:graphicData>
              </a:graphic>
            </wp:anchor>
          </w:drawing>
        </mc:Choice>
        <mc:Fallback>
          <w:pict>
            <v:rect fillcolor="#FFFFFF" style="position:absolute;rotation:-0;width:58.6pt;height:16.1pt;mso-wrap-distance-left:0pt;mso-wrap-distance-right:0pt;mso-wrap-distance-top:0pt;mso-wrap-distance-bottom:0pt;margin-top:18.95pt;mso-position-vertical-relative:text;margin-left:218.7pt;mso-position-horizontal-relative:text">
              <v:fill opacity="0f"/>
              <v:textbox inset="0in,0in,0in,0in">
                <w:txbxContent>
                  <w:p>
                    <w:pPr>
                      <w:pStyle w:val="Normal"/>
                      <w:pBdr/>
                      <w:rPr>
                        <w:rFonts w:ascii="Times New Roman" w:hAnsi="Times New Roman"/>
                        <w:sz w:val="28"/>
                        <w:szCs w:val="28"/>
                      </w:rPr>
                    </w:pPr>
                    <w:r>
                      <w:rPr>
                        <w:rFonts w:ascii="Times New Roman" w:hAnsi="Times New Roman"/>
                        <w:sz w:val="28"/>
                        <w:szCs w:val="28"/>
                      </w:rPr>
                      <w:fldChar w:fldCharType="begin"/>
                    </w:r>
                    <w:r>
                      <w:rPr>
                        <w:sz w:val="28"/>
                        <w:szCs w:val="28"/>
                        <w:rFonts w:ascii="Times New Roman" w:hAnsi="Times New Roman"/>
                      </w:rPr>
                      <w:instrText xml:space="preserve"> PAGE \* ARABIC </w:instrText>
                    </w:r>
                    <w:r>
                      <w:rPr>
                        <w:sz w:val="28"/>
                        <w:szCs w:val="28"/>
                        <w:rFonts w:ascii="Times New Roman" w:hAnsi="Times New Roman"/>
                      </w:rPr>
                      <w:fldChar w:fldCharType="separate"/>
                    </w:r>
                    <w:r>
                      <w:rPr>
                        <w:sz w:val="28"/>
                        <w:szCs w:val="28"/>
                        <w:rFonts w:ascii="Times New Roman" w:hAnsi="Times New Roman"/>
                      </w:rPr>
                      <w:t>322</w:t>
                    </w:r>
                    <w:r>
                      <w:rPr>
                        <w:sz w:val="28"/>
                        <w:szCs w:val="28"/>
                        <w:rFonts w:ascii="Times New Roman" w:hAnsi="Times New Roman"/>
                      </w:rPr>
                      <w:fldChar w:fldCharType="end"/>
                    </w:r>
                  </w:p>
                </w:txbxContent>
              </v:textbox>
              <w10:wrap type="square"/>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0" w:hanging="0"/>
      </w:pPr>
      <w:rPr>
        <w:smallCaps w:val="false"/>
        <w:caps w:val="false"/>
        <w:dstrike w:val="false"/>
        <w:strike w:val="false"/>
        <w:sz w:val="28"/>
        <w:spacing w:val="0"/>
        <w:i w:val="false"/>
        <w:u w:val="none"/>
        <w:b/>
        <w:rFonts w:ascii="Times New Roman" w:hAnsi="Times New Roman"/>
        <w:color w:val="000000"/>
      </w:rPr>
    </w:lvl>
    <w:lvl w:ilvl="1">
      <w:start w:val="1"/>
      <w:numFmt w:val="decimal"/>
      <w:lvlText w:val="%1.%2."/>
      <w:lvlJc w:val="left"/>
      <w:pPr>
        <w:tabs>
          <w:tab w:val="num" w:pos="0"/>
        </w:tabs>
        <w:ind w:left="0" w:hanging="0"/>
      </w:pPr>
      <w:rPr>
        <w:smallCaps w:val="false"/>
        <w:caps w:val="false"/>
        <w:dstrike w:val="false"/>
        <w:strike w:val="false"/>
        <w:sz w:val="28"/>
        <w:spacing w:val="0"/>
        <w:i w:val="false"/>
        <w:u w:val="none"/>
        <w:b/>
        <w:rFonts w:ascii="Times New Roman" w:hAnsi="Times New Roman"/>
        <w:color w:val="000000"/>
      </w:rPr>
    </w:lvl>
    <w:lvl w:ilvl="2">
      <w:start w:val="1"/>
      <w:numFmt w:val="decimal"/>
      <w:lvlText w:val=""/>
      <w:lvlJc w:val="left"/>
      <w:pPr>
        <w:tabs>
          <w:tab w:val="num" w:pos="0"/>
        </w:tabs>
        <w:ind w:left="0" w:hanging="0"/>
      </w:pPr>
      <w:rPr/>
    </w:lvl>
    <w:lvl w:ilvl="3">
      <w:start w:val="1"/>
      <w:numFmt w:val="decimal"/>
      <w:lvlText w:val=""/>
      <w:lvlJc w:val="left"/>
      <w:pPr>
        <w:tabs>
          <w:tab w:val="num" w:pos="0"/>
        </w:tabs>
        <w:ind w:left="0" w:hanging="0"/>
      </w:pPr>
      <w:rPr/>
    </w:lvl>
    <w:lvl w:ilvl="4">
      <w:start w:val="1"/>
      <w:numFmt w:val="decimal"/>
      <w:lvlText w:val=""/>
      <w:lvlJc w:val="left"/>
      <w:pPr>
        <w:tabs>
          <w:tab w:val="num" w:pos="0"/>
        </w:tabs>
        <w:ind w:left="0" w:hanging="0"/>
      </w:pPr>
      <w:rPr/>
    </w:lvl>
    <w:lvl w:ilvl="5">
      <w:start w:val="1"/>
      <w:numFmt w:val="decimal"/>
      <w:lvlText w:val=""/>
      <w:lvlJc w:val="left"/>
      <w:pPr>
        <w:tabs>
          <w:tab w:val="num" w:pos="0"/>
        </w:tabs>
        <w:ind w:left="0" w:hanging="0"/>
      </w:pPr>
      <w:rPr/>
    </w:lvl>
    <w:lvl w:ilvl="6">
      <w:start w:val="1"/>
      <w:numFmt w:val="decimal"/>
      <w:lvlText w:val=""/>
      <w:lvlJc w:val="left"/>
      <w:pPr>
        <w:tabs>
          <w:tab w:val="num" w:pos="0"/>
        </w:tabs>
        <w:ind w:left="0" w:hanging="0"/>
      </w:pPr>
      <w:rPr/>
    </w:lvl>
    <w:lvl w:ilvl="7">
      <w:start w:val="1"/>
      <w:numFmt w:val="decimal"/>
      <w:lvlText w:val=""/>
      <w:lvlJc w:val="left"/>
      <w:pPr>
        <w:tabs>
          <w:tab w:val="num" w:pos="0"/>
        </w:tabs>
        <w:ind w:left="0" w:hanging="0"/>
      </w:pPr>
      <w:rPr/>
    </w:lvl>
    <w:lvl w:ilvl="8">
      <w:start w:val="1"/>
      <w:numFmt w:val="decimal"/>
      <w:lvlText w:val=""/>
      <w:lvlJc w:val="left"/>
      <w:pPr>
        <w:tabs>
          <w:tab w:val="num" w:pos="0"/>
        </w:tabs>
        <w:ind w:left="0" w:hanging="0"/>
      </w:pPr>
      <w:rPr/>
    </w:lvl>
  </w:abstractNum>
  <w:abstractNum w:abstractNumId="2">
    <w:lvl w:ilvl="0">
      <w:start w:val="1"/>
      <w:numFmt w:val="decimal"/>
      <w:lvlText w:val="%1."/>
      <w:lvlJc w:val="left"/>
      <w:pPr>
        <w:tabs>
          <w:tab w:val="num" w:pos="0"/>
        </w:tabs>
        <w:ind w:left="960" w:hanging="360"/>
      </w:pPr>
      <w:rPr/>
    </w:lvl>
    <w:lvl w:ilvl="1">
      <w:start w:val="1"/>
      <w:numFmt w:val="lowerLetter"/>
      <w:lvlText w:val="%2."/>
      <w:lvlJc w:val="left"/>
      <w:pPr>
        <w:tabs>
          <w:tab w:val="num" w:pos="0"/>
        </w:tabs>
        <w:ind w:left="1680" w:hanging="360"/>
      </w:pPr>
      <w:rPr/>
    </w:lvl>
    <w:lvl w:ilvl="2">
      <w:start w:val="1"/>
      <w:numFmt w:val="lowerRoman"/>
      <w:lvlText w:val="%3."/>
      <w:lvlJc w:val="right"/>
      <w:pPr>
        <w:tabs>
          <w:tab w:val="num" w:pos="0"/>
        </w:tabs>
        <w:ind w:left="2400" w:hanging="180"/>
      </w:pPr>
      <w:rPr/>
    </w:lvl>
    <w:lvl w:ilvl="3">
      <w:start w:val="1"/>
      <w:numFmt w:val="decimal"/>
      <w:lvlText w:val="%4."/>
      <w:lvlJc w:val="left"/>
      <w:pPr>
        <w:tabs>
          <w:tab w:val="num" w:pos="0"/>
        </w:tabs>
        <w:ind w:left="3120" w:hanging="360"/>
      </w:pPr>
      <w:rPr/>
    </w:lvl>
    <w:lvl w:ilvl="4">
      <w:start w:val="1"/>
      <w:numFmt w:val="lowerLetter"/>
      <w:lvlText w:val="%5."/>
      <w:lvlJc w:val="left"/>
      <w:pPr>
        <w:tabs>
          <w:tab w:val="num" w:pos="0"/>
        </w:tabs>
        <w:ind w:left="3840" w:hanging="360"/>
      </w:pPr>
      <w:rPr/>
    </w:lvl>
    <w:lvl w:ilvl="5">
      <w:start w:val="1"/>
      <w:numFmt w:val="lowerRoman"/>
      <w:lvlText w:val="%6."/>
      <w:lvlJc w:val="right"/>
      <w:pPr>
        <w:tabs>
          <w:tab w:val="num" w:pos="0"/>
        </w:tabs>
        <w:ind w:left="4560" w:hanging="180"/>
      </w:pPr>
      <w:rPr/>
    </w:lvl>
    <w:lvl w:ilvl="6">
      <w:start w:val="1"/>
      <w:numFmt w:val="decimal"/>
      <w:lvlText w:val="%7."/>
      <w:lvlJc w:val="left"/>
      <w:pPr>
        <w:tabs>
          <w:tab w:val="num" w:pos="0"/>
        </w:tabs>
        <w:ind w:left="5280" w:hanging="360"/>
      </w:pPr>
      <w:rPr/>
    </w:lvl>
    <w:lvl w:ilvl="7">
      <w:start w:val="1"/>
      <w:numFmt w:val="lowerLetter"/>
      <w:lvlText w:val="%8."/>
      <w:lvlJc w:val="left"/>
      <w:pPr>
        <w:tabs>
          <w:tab w:val="num" w:pos="0"/>
        </w:tabs>
        <w:ind w:left="6000" w:hanging="360"/>
      </w:pPr>
      <w:rPr/>
    </w:lvl>
    <w:lvl w:ilvl="8">
      <w:start w:val="1"/>
      <w:numFmt w:val="lowerRoman"/>
      <w:lvlText w:val="%9."/>
      <w:lvlJc w:val="right"/>
      <w:pPr>
        <w:tabs>
          <w:tab w:val="num" w:pos="0"/>
        </w:tabs>
        <w:ind w:left="6720" w:hanging="180"/>
      </w:pPr>
      <w:rPr/>
    </w:lvl>
  </w:abstractNum>
  <w:abstractNum w:abstractNumId="3">
    <w:lvl w:ilvl="0">
      <w:start w:val="1"/>
      <w:numFmt w:val="decimal"/>
      <w:lvlText w:val="%1."/>
      <w:lvlJc w:val="left"/>
      <w:pPr>
        <w:tabs>
          <w:tab w:val="num" w:pos="0"/>
        </w:tabs>
        <w:ind w:left="960" w:hanging="360"/>
      </w:pPr>
      <w:rPr/>
    </w:lvl>
    <w:lvl w:ilvl="1">
      <w:start w:val="1"/>
      <w:numFmt w:val="lowerLetter"/>
      <w:lvlText w:val="%2."/>
      <w:lvlJc w:val="left"/>
      <w:pPr>
        <w:tabs>
          <w:tab w:val="num" w:pos="0"/>
        </w:tabs>
        <w:ind w:left="1680" w:hanging="360"/>
      </w:pPr>
      <w:rPr/>
    </w:lvl>
    <w:lvl w:ilvl="2">
      <w:start w:val="1"/>
      <w:numFmt w:val="lowerRoman"/>
      <w:lvlText w:val="%3."/>
      <w:lvlJc w:val="right"/>
      <w:pPr>
        <w:tabs>
          <w:tab w:val="num" w:pos="0"/>
        </w:tabs>
        <w:ind w:left="2400" w:hanging="180"/>
      </w:pPr>
      <w:rPr/>
    </w:lvl>
    <w:lvl w:ilvl="3">
      <w:start w:val="1"/>
      <w:numFmt w:val="decimal"/>
      <w:lvlText w:val="%4."/>
      <w:lvlJc w:val="left"/>
      <w:pPr>
        <w:tabs>
          <w:tab w:val="num" w:pos="0"/>
        </w:tabs>
        <w:ind w:left="3120" w:hanging="360"/>
      </w:pPr>
      <w:rPr/>
    </w:lvl>
    <w:lvl w:ilvl="4">
      <w:start w:val="1"/>
      <w:numFmt w:val="lowerLetter"/>
      <w:lvlText w:val="%5."/>
      <w:lvlJc w:val="left"/>
      <w:pPr>
        <w:tabs>
          <w:tab w:val="num" w:pos="0"/>
        </w:tabs>
        <w:ind w:left="3840" w:hanging="360"/>
      </w:pPr>
      <w:rPr/>
    </w:lvl>
    <w:lvl w:ilvl="5">
      <w:start w:val="1"/>
      <w:numFmt w:val="lowerRoman"/>
      <w:lvlText w:val="%6."/>
      <w:lvlJc w:val="right"/>
      <w:pPr>
        <w:tabs>
          <w:tab w:val="num" w:pos="0"/>
        </w:tabs>
        <w:ind w:left="4560" w:hanging="180"/>
      </w:pPr>
      <w:rPr/>
    </w:lvl>
    <w:lvl w:ilvl="6">
      <w:start w:val="1"/>
      <w:numFmt w:val="decimal"/>
      <w:lvlText w:val="%7."/>
      <w:lvlJc w:val="left"/>
      <w:pPr>
        <w:tabs>
          <w:tab w:val="num" w:pos="0"/>
        </w:tabs>
        <w:ind w:left="5280" w:hanging="360"/>
      </w:pPr>
      <w:rPr/>
    </w:lvl>
    <w:lvl w:ilvl="7">
      <w:start w:val="1"/>
      <w:numFmt w:val="lowerLetter"/>
      <w:lvlText w:val="%8."/>
      <w:lvlJc w:val="left"/>
      <w:pPr>
        <w:tabs>
          <w:tab w:val="num" w:pos="0"/>
        </w:tabs>
        <w:ind w:left="6000" w:hanging="360"/>
      </w:pPr>
      <w:rPr/>
    </w:lvl>
    <w:lvl w:ilvl="8">
      <w:start w:val="1"/>
      <w:numFmt w:val="lowerRoman"/>
      <w:lvlText w:val="%9."/>
      <w:lvlJc w:val="right"/>
      <w:pPr>
        <w:tabs>
          <w:tab w:val="num" w:pos="0"/>
        </w:tabs>
        <w:ind w:left="6720" w:hanging="180"/>
      </w:pPr>
      <w:rPr/>
    </w:lvl>
  </w:abstractNum>
  <w:abstractNum w:abstractNumId="4">
    <w:lvl w:ilvl="0">
      <w:start w:val="1"/>
      <w:numFmt w:val="decimal"/>
      <w:lvlText w:val="%1."/>
      <w:lvlJc w:val="left"/>
      <w:pPr>
        <w:tabs>
          <w:tab w:val="num" w:pos="0"/>
        </w:tabs>
        <w:ind w:left="0" w:hanging="0"/>
      </w:pPr>
      <w:rPr>
        <w:smallCaps w:val="false"/>
        <w:caps w:val="false"/>
        <w:dstrike w:val="false"/>
        <w:strike w:val="false"/>
        <w:sz w:val="28"/>
        <w:spacing w:val="0"/>
        <w:i w:val="false"/>
        <w:u w:val="none"/>
        <w:b w:val="false"/>
        <w:rFonts w:ascii="Times New Roman" w:hAnsi="Times New Roman"/>
        <w:color w:val="000000"/>
      </w:rPr>
    </w:lvl>
    <w:lvl w:ilvl="1">
      <w:start w:val="1"/>
      <w:numFmt w:val="decimal"/>
      <w:lvlText w:val="%1.%2."/>
      <w:lvlJc w:val="left"/>
      <w:pPr>
        <w:tabs>
          <w:tab w:val="num" w:pos="0"/>
        </w:tabs>
        <w:ind w:left="0" w:hanging="0"/>
      </w:pPr>
      <w:rPr>
        <w:smallCaps w:val="false"/>
        <w:caps w:val="false"/>
        <w:dstrike w:val="false"/>
        <w:strike w:val="false"/>
        <w:sz w:val="26"/>
        <w:spacing w:val="0"/>
        <w:i w:val="false"/>
        <w:u w:val="none"/>
        <w:b/>
        <w:rFonts w:ascii="Times New Roman" w:hAnsi="Times New Roman"/>
        <w:color w:val="000000"/>
      </w:rPr>
    </w:lvl>
    <w:lvl w:ilvl="2">
      <w:start w:val="1"/>
      <w:numFmt w:val="decimal"/>
      <w:lvlText w:val=""/>
      <w:lvlJc w:val="left"/>
      <w:pPr>
        <w:tabs>
          <w:tab w:val="num" w:pos="0"/>
        </w:tabs>
        <w:ind w:left="0" w:hanging="0"/>
      </w:pPr>
      <w:rPr/>
    </w:lvl>
    <w:lvl w:ilvl="3">
      <w:start w:val="1"/>
      <w:numFmt w:val="decimal"/>
      <w:lvlText w:val=""/>
      <w:lvlJc w:val="left"/>
      <w:pPr>
        <w:tabs>
          <w:tab w:val="num" w:pos="0"/>
        </w:tabs>
        <w:ind w:left="0" w:hanging="0"/>
      </w:pPr>
      <w:rPr/>
    </w:lvl>
    <w:lvl w:ilvl="4">
      <w:start w:val="1"/>
      <w:numFmt w:val="decimal"/>
      <w:lvlText w:val=""/>
      <w:lvlJc w:val="left"/>
      <w:pPr>
        <w:tabs>
          <w:tab w:val="num" w:pos="0"/>
        </w:tabs>
        <w:ind w:left="0" w:hanging="0"/>
      </w:pPr>
      <w:rPr/>
    </w:lvl>
    <w:lvl w:ilvl="5">
      <w:start w:val="1"/>
      <w:numFmt w:val="decimal"/>
      <w:lvlText w:val=""/>
      <w:lvlJc w:val="left"/>
      <w:pPr>
        <w:tabs>
          <w:tab w:val="num" w:pos="0"/>
        </w:tabs>
        <w:ind w:left="0" w:hanging="0"/>
      </w:pPr>
      <w:rPr/>
    </w:lvl>
    <w:lvl w:ilvl="6">
      <w:start w:val="1"/>
      <w:numFmt w:val="decimal"/>
      <w:lvlText w:val=""/>
      <w:lvlJc w:val="left"/>
      <w:pPr>
        <w:tabs>
          <w:tab w:val="num" w:pos="0"/>
        </w:tabs>
        <w:ind w:left="0" w:hanging="0"/>
      </w:pPr>
      <w:rPr/>
    </w:lvl>
    <w:lvl w:ilvl="7">
      <w:start w:val="1"/>
      <w:numFmt w:val="decimal"/>
      <w:lvlText w:val=""/>
      <w:lvlJc w:val="left"/>
      <w:pPr>
        <w:tabs>
          <w:tab w:val="num" w:pos="0"/>
        </w:tabs>
        <w:ind w:left="0" w:hanging="0"/>
      </w:pPr>
      <w:rPr/>
    </w:lvl>
    <w:lvl w:ilvl="8">
      <w:start w:val="1"/>
      <w:numFmt w:val="decimal"/>
      <w:lvlText w:val=""/>
      <w:lvlJc w:val="left"/>
      <w:pPr>
        <w:tabs>
          <w:tab w:val="num" w:pos="0"/>
        </w:tabs>
        <w:ind w:left="0" w:hanging="0"/>
      </w:pPr>
      <w:rPr/>
    </w:lvl>
  </w:abstractNum>
  <w:abstractNum w:abstractNumId="5">
    <w:lvl w:ilvl="0">
      <w:start w:val="1"/>
      <w:numFmt w:val="decimal"/>
      <w:lvlText w:val="%1."/>
      <w:lvlJc w:val="left"/>
      <w:pPr>
        <w:tabs>
          <w:tab w:val="num" w:pos="0"/>
        </w:tabs>
        <w:ind w:left="0" w:hanging="0"/>
      </w:pPr>
      <w:rPr>
        <w:smallCaps w:val="false"/>
        <w:caps w:val="false"/>
        <w:dstrike w:val="false"/>
        <w:strike w:val="false"/>
        <w:sz w:val="26"/>
        <w:spacing w:val="0"/>
        <w:i w:val="false"/>
        <w:u w:val="none"/>
        <w:b w:val="false"/>
        <w:rFonts w:ascii="Times New Roman" w:hAnsi="Times New Roman"/>
        <w:color w:val="000000"/>
      </w:rPr>
    </w:lvl>
    <w:lvl w:ilvl="1">
      <w:start w:val="1"/>
      <w:numFmt w:val="decimal"/>
      <w:lvlText w:val="%1.%2."/>
      <w:lvlJc w:val="left"/>
      <w:pPr>
        <w:tabs>
          <w:tab w:val="num" w:pos="0"/>
        </w:tabs>
        <w:ind w:left="0" w:hanging="0"/>
      </w:pPr>
      <w:rPr>
        <w:smallCaps w:val="false"/>
        <w:caps w:val="false"/>
        <w:dstrike w:val="false"/>
        <w:strike w:val="false"/>
        <w:sz w:val="26"/>
        <w:spacing w:val="0"/>
        <w:i w:val="false"/>
        <w:u w:val="none"/>
        <w:b/>
        <w:rFonts w:ascii="Times New Roman" w:hAnsi="Times New Roman"/>
        <w:color w:val="000000"/>
      </w:rPr>
    </w:lvl>
    <w:lvl w:ilvl="2">
      <w:start w:val="1"/>
      <w:numFmt w:val="decimal"/>
      <w:lvlText w:val=""/>
      <w:lvlJc w:val="left"/>
      <w:pPr>
        <w:tabs>
          <w:tab w:val="num" w:pos="0"/>
        </w:tabs>
        <w:ind w:left="0" w:hanging="0"/>
      </w:pPr>
      <w:rPr/>
    </w:lvl>
    <w:lvl w:ilvl="3">
      <w:start w:val="1"/>
      <w:numFmt w:val="decimal"/>
      <w:lvlText w:val=""/>
      <w:lvlJc w:val="left"/>
      <w:pPr>
        <w:tabs>
          <w:tab w:val="num" w:pos="0"/>
        </w:tabs>
        <w:ind w:left="0" w:hanging="0"/>
      </w:pPr>
      <w:rPr/>
    </w:lvl>
    <w:lvl w:ilvl="4">
      <w:start w:val="1"/>
      <w:numFmt w:val="decimal"/>
      <w:lvlText w:val=""/>
      <w:lvlJc w:val="left"/>
      <w:pPr>
        <w:tabs>
          <w:tab w:val="num" w:pos="0"/>
        </w:tabs>
        <w:ind w:left="0" w:hanging="0"/>
      </w:pPr>
      <w:rPr/>
    </w:lvl>
    <w:lvl w:ilvl="5">
      <w:start w:val="1"/>
      <w:numFmt w:val="decimal"/>
      <w:lvlText w:val=""/>
      <w:lvlJc w:val="left"/>
      <w:pPr>
        <w:tabs>
          <w:tab w:val="num" w:pos="0"/>
        </w:tabs>
        <w:ind w:left="0" w:hanging="0"/>
      </w:pPr>
      <w:rPr/>
    </w:lvl>
    <w:lvl w:ilvl="6">
      <w:start w:val="1"/>
      <w:numFmt w:val="decimal"/>
      <w:lvlText w:val=""/>
      <w:lvlJc w:val="left"/>
      <w:pPr>
        <w:tabs>
          <w:tab w:val="num" w:pos="0"/>
        </w:tabs>
        <w:ind w:left="0" w:hanging="0"/>
      </w:pPr>
      <w:rPr/>
    </w:lvl>
    <w:lvl w:ilvl="7">
      <w:start w:val="1"/>
      <w:numFmt w:val="decimal"/>
      <w:lvlText w:val=""/>
      <w:lvlJc w:val="left"/>
      <w:pPr>
        <w:tabs>
          <w:tab w:val="num" w:pos="0"/>
        </w:tabs>
        <w:ind w:left="0" w:hanging="0"/>
      </w:pPr>
      <w:rPr/>
    </w:lvl>
    <w:lvl w:ilvl="8">
      <w:start w:val="1"/>
      <w:numFmt w:val="decimal"/>
      <w:lvlText w:val=""/>
      <w:lvlJc w:val="left"/>
      <w:pPr>
        <w:tabs>
          <w:tab w:val="num" w:pos="0"/>
        </w:tabs>
        <w:ind w:left="0" w:hanging="0"/>
      </w:pPr>
      <w:rPr/>
    </w:lvl>
  </w:abstractNum>
  <w:abstractNum w:abstractNumId="6">
    <w:lvl w:ilvl="0">
      <w:start w:val="1"/>
      <w:numFmt w:val="decimal"/>
      <w:lvlText w:val="%1."/>
      <w:lvlJc w:val="left"/>
      <w:pPr>
        <w:tabs>
          <w:tab w:val="num" w:pos="0"/>
        </w:tabs>
        <w:ind w:left="0" w:hanging="0"/>
      </w:pPr>
      <w:rPr>
        <w:smallCaps w:val="false"/>
        <w:caps w:val="false"/>
        <w:dstrike w:val="false"/>
        <w:strike w:val="false"/>
        <w:sz w:val="26"/>
        <w:spacing w:val="0"/>
        <w:i w:val="false"/>
        <w:u w:val="none"/>
        <w:b w:val="false"/>
        <w:rFonts w:ascii="Times New Roman" w:hAnsi="Times New Roman"/>
        <w:color w:val="000000"/>
      </w:rPr>
    </w:lvl>
    <w:lvl w:ilvl="1">
      <w:start w:val="1"/>
      <w:numFmt w:val="decimal"/>
      <w:lvlText w:val="%1.%2."/>
      <w:lvlJc w:val="left"/>
      <w:pPr>
        <w:tabs>
          <w:tab w:val="num" w:pos="0"/>
        </w:tabs>
        <w:ind w:left="0" w:hanging="0"/>
      </w:pPr>
      <w:rPr>
        <w:smallCaps w:val="false"/>
        <w:caps w:val="false"/>
        <w:dstrike w:val="false"/>
        <w:strike w:val="false"/>
        <w:sz w:val="26"/>
        <w:spacing w:val="0"/>
        <w:i w:val="false"/>
        <w:u w:val="none"/>
        <w:b/>
        <w:rFonts w:ascii="Times New Roman" w:hAnsi="Times New Roman"/>
        <w:color w:val="000000"/>
      </w:rPr>
    </w:lvl>
    <w:lvl w:ilvl="2">
      <w:start w:val="1"/>
      <w:numFmt w:val="decimal"/>
      <w:lvlText w:val=""/>
      <w:lvlJc w:val="left"/>
      <w:pPr>
        <w:tabs>
          <w:tab w:val="num" w:pos="0"/>
        </w:tabs>
        <w:ind w:left="0" w:hanging="0"/>
      </w:pPr>
      <w:rPr/>
    </w:lvl>
    <w:lvl w:ilvl="3">
      <w:start w:val="1"/>
      <w:numFmt w:val="decimal"/>
      <w:lvlText w:val=""/>
      <w:lvlJc w:val="left"/>
      <w:pPr>
        <w:tabs>
          <w:tab w:val="num" w:pos="0"/>
        </w:tabs>
        <w:ind w:left="0" w:hanging="0"/>
      </w:pPr>
      <w:rPr/>
    </w:lvl>
    <w:lvl w:ilvl="4">
      <w:start w:val="1"/>
      <w:numFmt w:val="decimal"/>
      <w:lvlText w:val=""/>
      <w:lvlJc w:val="left"/>
      <w:pPr>
        <w:tabs>
          <w:tab w:val="num" w:pos="0"/>
        </w:tabs>
        <w:ind w:left="0" w:hanging="0"/>
      </w:pPr>
      <w:rPr/>
    </w:lvl>
    <w:lvl w:ilvl="5">
      <w:start w:val="1"/>
      <w:numFmt w:val="decimal"/>
      <w:lvlText w:val=""/>
      <w:lvlJc w:val="left"/>
      <w:pPr>
        <w:tabs>
          <w:tab w:val="num" w:pos="0"/>
        </w:tabs>
        <w:ind w:left="0" w:hanging="0"/>
      </w:pPr>
      <w:rPr/>
    </w:lvl>
    <w:lvl w:ilvl="6">
      <w:start w:val="1"/>
      <w:numFmt w:val="decimal"/>
      <w:lvlText w:val=""/>
      <w:lvlJc w:val="left"/>
      <w:pPr>
        <w:tabs>
          <w:tab w:val="num" w:pos="0"/>
        </w:tabs>
        <w:ind w:left="0" w:hanging="0"/>
      </w:pPr>
      <w:rPr/>
    </w:lvl>
    <w:lvl w:ilvl="7">
      <w:start w:val="1"/>
      <w:numFmt w:val="decimal"/>
      <w:lvlText w:val=""/>
      <w:lvlJc w:val="left"/>
      <w:pPr>
        <w:tabs>
          <w:tab w:val="num" w:pos="0"/>
        </w:tabs>
        <w:ind w:left="0" w:hanging="0"/>
      </w:pPr>
      <w:rPr/>
    </w:lvl>
    <w:lvl w:ilvl="8">
      <w:start w:val="1"/>
      <w:numFmt w:val="decimal"/>
      <w:lvlText w:val=""/>
      <w:lvlJc w:val="left"/>
      <w:pPr>
        <w:tabs>
          <w:tab w:val="num" w:pos="0"/>
        </w:tabs>
        <w:ind w:left="0" w:hanging="0"/>
      </w:pPr>
      <w:rPr/>
    </w:lvl>
  </w:abstractNum>
  <w:abstractNum w:abstractNumId="7">
    <w:lvl w:ilvl="0">
      <w:start w:val="1"/>
      <w:numFmt w:val="decimal"/>
      <w:lvlText w:val="%1."/>
      <w:lvlJc w:val="left"/>
      <w:pPr>
        <w:tabs>
          <w:tab w:val="num" w:pos="0"/>
        </w:tabs>
        <w:ind w:left="0" w:hanging="0"/>
      </w:pPr>
      <w:rPr>
        <w:smallCaps w:val="false"/>
        <w:caps w:val="false"/>
        <w:dstrike w:val="false"/>
        <w:strike w:val="false"/>
        <w:sz w:val="28"/>
        <w:spacing w:val="0"/>
        <w:i w:val="false"/>
        <w:u w:val="none"/>
        <w:b/>
        <w:rFonts w:ascii="Times New Roman" w:hAnsi="Times New Roman"/>
        <w:color w:val="000000"/>
      </w:rPr>
    </w:lvl>
    <w:lvl w:ilvl="1">
      <w:start w:val="1"/>
      <w:numFmt w:val="decimal"/>
      <w:lvlText w:val="%1.%2."/>
      <w:lvlJc w:val="left"/>
      <w:pPr>
        <w:tabs>
          <w:tab w:val="num" w:pos="0"/>
        </w:tabs>
        <w:ind w:left="0" w:hanging="0"/>
      </w:pPr>
      <w:rPr>
        <w:smallCaps w:val="false"/>
        <w:caps w:val="false"/>
        <w:dstrike w:val="false"/>
        <w:strike w:val="false"/>
        <w:sz w:val="26"/>
        <w:spacing w:val="0"/>
        <w:i w:val="false"/>
        <w:u w:val="none"/>
        <w:b/>
        <w:rFonts w:ascii="Times New Roman" w:hAnsi="Times New Roman"/>
        <w:color w:val="000000"/>
      </w:rPr>
    </w:lvl>
    <w:lvl w:ilvl="2">
      <w:start w:val="1"/>
      <w:numFmt w:val="decimal"/>
      <w:lvlText w:val=""/>
      <w:lvlJc w:val="left"/>
      <w:pPr>
        <w:tabs>
          <w:tab w:val="num" w:pos="0"/>
        </w:tabs>
        <w:ind w:left="0" w:hanging="0"/>
      </w:pPr>
      <w:rPr/>
    </w:lvl>
    <w:lvl w:ilvl="3">
      <w:start w:val="1"/>
      <w:numFmt w:val="decimal"/>
      <w:lvlText w:val=""/>
      <w:lvlJc w:val="left"/>
      <w:pPr>
        <w:tabs>
          <w:tab w:val="num" w:pos="0"/>
        </w:tabs>
        <w:ind w:left="0" w:hanging="0"/>
      </w:pPr>
      <w:rPr/>
    </w:lvl>
    <w:lvl w:ilvl="4">
      <w:start w:val="1"/>
      <w:numFmt w:val="decimal"/>
      <w:lvlText w:val=""/>
      <w:lvlJc w:val="left"/>
      <w:pPr>
        <w:tabs>
          <w:tab w:val="num" w:pos="0"/>
        </w:tabs>
        <w:ind w:left="0" w:hanging="0"/>
      </w:pPr>
      <w:rPr/>
    </w:lvl>
    <w:lvl w:ilvl="5">
      <w:start w:val="1"/>
      <w:numFmt w:val="decimal"/>
      <w:lvlText w:val=""/>
      <w:lvlJc w:val="left"/>
      <w:pPr>
        <w:tabs>
          <w:tab w:val="num" w:pos="0"/>
        </w:tabs>
        <w:ind w:left="0" w:hanging="0"/>
      </w:pPr>
      <w:rPr/>
    </w:lvl>
    <w:lvl w:ilvl="6">
      <w:start w:val="1"/>
      <w:numFmt w:val="decimal"/>
      <w:lvlText w:val=""/>
      <w:lvlJc w:val="left"/>
      <w:pPr>
        <w:tabs>
          <w:tab w:val="num" w:pos="0"/>
        </w:tabs>
        <w:ind w:left="0" w:hanging="0"/>
      </w:pPr>
      <w:rPr/>
    </w:lvl>
    <w:lvl w:ilvl="7">
      <w:start w:val="1"/>
      <w:numFmt w:val="decimal"/>
      <w:lvlText w:val=""/>
      <w:lvlJc w:val="left"/>
      <w:pPr>
        <w:tabs>
          <w:tab w:val="num" w:pos="0"/>
        </w:tabs>
        <w:ind w:left="0" w:hanging="0"/>
      </w:pPr>
      <w:rPr/>
    </w:lvl>
    <w:lvl w:ilvl="8">
      <w:start w:val="1"/>
      <w:numFmt w:val="decimal"/>
      <w:lvlText w:val=""/>
      <w:lvlJc w:val="left"/>
      <w:pPr>
        <w:tabs>
          <w:tab w:val="num" w:pos="0"/>
        </w:tabs>
        <w:ind w:left="0" w:hanging="0"/>
      </w:pPr>
      <w:rPr/>
    </w:lvl>
  </w:abstractNum>
  <w:abstractNum w:abstractNumId="8">
    <w:lvl w:ilvl="0">
      <w:start w:val="5"/>
      <w:numFmt w:val="decimal"/>
      <w:lvlText w:val="%1."/>
      <w:lvlJc w:val="left"/>
      <w:pPr>
        <w:tabs>
          <w:tab w:val="num" w:pos="0"/>
        </w:tabs>
        <w:ind w:left="786" w:hanging="360"/>
      </w:pPr>
      <w:rPr/>
    </w:lvl>
    <w:lvl w:ilvl="1">
      <w:start w:val="1"/>
      <w:numFmt w:val="lowerLetter"/>
      <w:lvlText w:val="%2."/>
      <w:lvlJc w:val="left"/>
      <w:pPr>
        <w:tabs>
          <w:tab w:val="num" w:pos="0"/>
        </w:tabs>
        <w:ind w:left="1506" w:hanging="360"/>
      </w:pPr>
      <w:rPr/>
    </w:lvl>
    <w:lvl w:ilvl="2">
      <w:start w:val="1"/>
      <w:numFmt w:val="lowerRoman"/>
      <w:lvlText w:val="%3."/>
      <w:lvlJc w:val="right"/>
      <w:pPr>
        <w:tabs>
          <w:tab w:val="num" w:pos="0"/>
        </w:tabs>
        <w:ind w:left="2226" w:hanging="180"/>
      </w:pPr>
      <w:rPr/>
    </w:lvl>
    <w:lvl w:ilvl="3">
      <w:start w:val="1"/>
      <w:numFmt w:val="decimal"/>
      <w:lvlText w:val="%4."/>
      <w:lvlJc w:val="left"/>
      <w:pPr>
        <w:tabs>
          <w:tab w:val="num" w:pos="0"/>
        </w:tabs>
        <w:ind w:left="2946" w:hanging="360"/>
      </w:pPr>
      <w:rPr/>
    </w:lvl>
    <w:lvl w:ilvl="4">
      <w:start w:val="1"/>
      <w:numFmt w:val="lowerLetter"/>
      <w:lvlText w:val="%5."/>
      <w:lvlJc w:val="left"/>
      <w:pPr>
        <w:tabs>
          <w:tab w:val="num" w:pos="0"/>
        </w:tabs>
        <w:ind w:left="3666" w:hanging="360"/>
      </w:pPr>
      <w:rPr/>
    </w:lvl>
    <w:lvl w:ilvl="5">
      <w:start w:val="1"/>
      <w:numFmt w:val="lowerRoman"/>
      <w:lvlText w:val="%6."/>
      <w:lvlJc w:val="right"/>
      <w:pPr>
        <w:tabs>
          <w:tab w:val="num" w:pos="0"/>
        </w:tabs>
        <w:ind w:left="4386" w:hanging="180"/>
      </w:pPr>
      <w:rPr/>
    </w:lvl>
    <w:lvl w:ilvl="6">
      <w:start w:val="1"/>
      <w:numFmt w:val="decimal"/>
      <w:lvlText w:val="%7."/>
      <w:lvlJc w:val="left"/>
      <w:pPr>
        <w:tabs>
          <w:tab w:val="num" w:pos="0"/>
        </w:tabs>
        <w:ind w:left="5106" w:hanging="360"/>
      </w:pPr>
      <w:rPr/>
    </w:lvl>
    <w:lvl w:ilvl="7">
      <w:start w:val="1"/>
      <w:numFmt w:val="lowerLetter"/>
      <w:lvlText w:val="%8."/>
      <w:lvlJc w:val="left"/>
      <w:pPr>
        <w:tabs>
          <w:tab w:val="num" w:pos="0"/>
        </w:tabs>
        <w:ind w:left="5826" w:hanging="360"/>
      </w:pPr>
      <w:rPr/>
    </w:lvl>
    <w:lvl w:ilvl="8">
      <w:start w:val="1"/>
      <w:numFmt w:val="lowerRoman"/>
      <w:lvlText w:val="%9."/>
      <w:lvlJc w:val="right"/>
      <w:pPr>
        <w:tabs>
          <w:tab w:val="num" w:pos="0"/>
        </w:tabs>
        <w:ind w:left="6546" w:hanging="180"/>
      </w:pPr>
      <w:rPr/>
    </w:lvl>
  </w:abstractNum>
  <w:abstractNum w:abstractNumId="9">
    <w:lvl w:ilvl="0">
      <w:start w:val="1"/>
      <w:numFmt w:val="decimal"/>
      <w:lvlText w:val="%1)"/>
      <w:lvlJc w:val="left"/>
      <w:pPr>
        <w:tabs>
          <w:tab w:val="num" w:pos="0"/>
        </w:tabs>
        <w:ind w:left="940" w:hanging="360"/>
      </w:pPr>
      <w:rPr/>
    </w:lvl>
    <w:lvl w:ilvl="1">
      <w:start w:val="1"/>
      <w:numFmt w:val="lowerLetter"/>
      <w:lvlText w:val="%2."/>
      <w:lvlJc w:val="left"/>
      <w:pPr>
        <w:tabs>
          <w:tab w:val="num" w:pos="0"/>
        </w:tabs>
        <w:ind w:left="1660" w:hanging="360"/>
      </w:pPr>
      <w:rPr/>
    </w:lvl>
    <w:lvl w:ilvl="2">
      <w:start w:val="1"/>
      <w:numFmt w:val="lowerRoman"/>
      <w:lvlText w:val="%3."/>
      <w:lvlJc w:val="right"/>
      <w:pPr>
        <w:tabs>
          <w:tab w:val="num" w:pos="0"/>
        </w:tabs>
        <w:ind w:left="2380" w:hanging="180"/>
      </w:pPr>
      <w:rPr/>
    </w:lvl>
    <w:lvl w:ilvl="3">
      <w:start w:val="1"/>
      <w:numFmt w:val="decimal"/>
      <w:lvlText w:val="%4."/>
      <w:lvlJc w:val="left"/>
      <w:pPr>
        <w:tabs>
          <w:tab w:val="num" w:pos="0"/>
        </w:tabs>
        <w:ind w:left="3100" w:hanging="360"/>
      </w:pPr>
      <w:rPr/>
    </w:lvl>
    <w:lvl w:ilvl="4">
      <w:start w:val="1"/>
      <w:numFmt w:val="lowerLetter"/>
      <w:lvlText w:val="%5."/>
      <w:lvlJc w:val="left"/>
      <w:pPr>
        <w:tabs>
          <w:tab w:val="num" w:pos="0"/>
        </w:tabs>
        <w:ind w:left="3820" w:hanging="360"/>
      </w:pPr>
      <w:rPr/>
    </w:lvl>
    <w:lvl w:ilvl="5">
      <w:start w:val="1"/>
      <w:numFmt w:val="lowerRoman"/>
      <w:lvlText w:val="%6."/>
      <w:lvlJc w:val="right"/>
      <w:pPr>
        <w:tabs>
          <w:tab w:val="num" w:pos="0"/>
        </w:tabs>
        <w:ind w:left="4540" w:hanging="180"/>
      </w:pPr>
      <w:rPr/>
    </w:lvl>
    <w:lvl w:ilvl="6">
      <w:start w:val="1"/>
      <w:numFmt w:val="decimal"/>
      <w:lvlText w:val="%7."/>
      <w:lvlJc w:val="left"/>
      <w:pPr>
        <w:tabs>
          <w:tab w:val="num" w:pos="0"/>
        </w:tabs>
        <w:ind w:left="5260" w:hanging="360"/>
      </w:pPr>
      <w:rPr/>
    </w:lvl>
    <w:lvl w:ilvl="7">
      <w:start w:val="1"/>
      <w:numFmt w:val="lowerLetter"/>
      <w:lvlText w:val="%8."/>
      <w:lvlJc w:val="left"/>
      <w:pPr>
        <w:tabs>
          <w:tab w:val="num" w:pos="0"/>
        </w:tabs>
        <w:ind w:left="5980" w:hanging="360"/>
      </w:pPr>
      <w:rPr/>
    </w:lvl>
    <w:lvl w:ilvl="8">
      <w:start w:val="1"/>
      <w:numFmt w:val="lowerRoman"/>
      <w:lvlText w:val="%9."/>
      <w:lvlJc w:val="right"/>
      <w:pPr>
        <w:tabs>
          <w:tab w:val="num" w:pos="0"/>
        </w:tabs>
        <w:ind w:left="6700" w:hanging="180"/>
      </w:pPr>
      <w:rPr/>
    </w:lvl>
  </w:abstractNum>
  <w:abstractNum w:abstractNumId="10">
    <w:lvl w:ilvl="0">
      <w:start w:val="1"/>
      <w:numFmt w:val="decimal"/>
      <w:lvlText w:val="%1."/>
      <w:lvlJc w:val="left"/>
      <w:pPr>
        <w:tabs>
          <w:tab w:val="num" w:pos="0"/>
        </w:tabs>
        <w:ind w:left="940" w:hanging="360"/>
      </w:pPr>
      <w:rPr>
        <w:b/>
      </w:rPr>
    </w:lvl>
    <w:lvl w:ilvl="1">
      <w:start w:val="1"/>
      <w:numFmt w:val="lowerLetter"/>
      <w:lvlText w:val="%2."/>
      <w:lvlJc w:val="left"/>
      <w:pPr>
        <w:tabs>
          <w:tab w:val="num" w:pos="0"/>
        </w:tabs>
        <w:ind w:left="1660" w:hanging="360"/>
      </w:pPr>
      <w:rPr/>
    </w:lvl>
    <w:lvl w:ilvl="2">
      <w:start w:val="1"/>
      <w:numFmt w:val="lowerRoman"/>
      <w:lvlText w:val="%3."/>
      <w:lvlJc w:val="right"/>
      <w:pPr>
        <w:tabs>
          <w:tab w:val="num" w:pos="0"/>
        </w:tabs>
        <w:ind w:left="2380" w:hanging="180"/>
      </w:pPr>
      <w:rPr/>
    </w:lvl>
    <w:lvl w:ilvl="3">
      <w:start w:val="1"/>
      <w:numFmt w:val="decimal"/>
      <w:lvlText w:val="%4."/>
      <w:lvlJc w:val="left"/>
      <w:pPr>
        <w:tabs>
          <w:tab w:val="num" w:pos="0"/>
        </w:tabs>
        <w:ind w:left="3100" w:hanging="360"/>
      </w:pPr>
      <w:rPr/>
    </w:lvl>
    <w:lvl w:ilvl="4">
      <w:start w:val="1"/>
      <w:numFmt w:val="lowerLetter"/>
      <w:lvlText w:val="%5."/>
      <w:lvlJc w:val="left"/>
      <w:pPr>
        <w:tabs>
          <w:tab w:val="num" w:pos="0"/>
        </w:tabs>
        <w:ind w:left="3820" w:hanging="360"/>
      </w:pPr>
      <w:rPr/>
    </w:lvl>
    <w:lvl w:ilvl="5">
      <w:start w:val="1"/>
      <w:numFmt w:val="lowerRoman"/>
      <w:lvlText w:val="%6."/>
      <w:lvlJc w:val="right"/>
      <w:pPr>
        <w:tabs>
          <w:tab w:val="num" w:pos="0"/>
        </w:tabs>
        <w:ind w:left="4540" w:hanging="180"/>
      </w:pPr>
      <w:rPr/>
    </w:lvl>
    <w:lvl w:ilvl="6">
      <w:start w:val="1"/>
      <w:numFmt w:val="decimal"/>
      <w:lvlText w:val="%7."/>
      <w:lvlJc w:val="left"/>
      <w:pPr>
        <w:tabs>
          <w:tab w:val="num" w:pos="0"/>
        </w:tabs>
        <w:ind w:left="5260" w:hanging="360"/>
      </w:pPr>
      <w:rPr/>
    </w:lvl>
    <w:lvl w:ilvl="7">
      <w:start w:val="1"/>
      <w:numFmt w:val="lowerLetter"/>
      <w:lvlText w:val="%8."/>
      <w:lvlJc w:val="left"/>
      <w:pPr>
        <w:tabs>
          <w:tab w:val="num" w:pos="0"/>
        </w:tabs>
        <w:ind w:left="5980" w:hanging="360"/>
      </w:pPr>
      <w:rPr/>
    </w:lvl>
    <w:lvl w:ilvl="8">
      <w:start w:val="1"/>
      <w:numFmt w:val="lowerRoman"/>
      <w:lvlText w:val="%9."/>
      <w:lvlJc w:val="right"/>
      <w:pPr>
        <w:tabs>
          <w:tab w:val="num" w:pos="0"/>
        </w:tabs>
        <w:ind w:left="6700" w:hanging="180"/>
      </w:pPr>
      <w:rPr/>
    </w:lvl>
  </w:abstractNum>
  <w:abstractNum w:abstractNumId="11">
    <w:lvl w:ilvl="0">
      <w:start w:val="1"/>
      <w:numFmt w:val="decimal"/>
      <w:lvlText w:val="%1."/>
      <w:lvlJc w:val="left"/>
      <w:pPr>
        <w:tabs>
          <w:tab w:val="num" w:pos="0"/>
        </w:tabs>
        <w:ind w:left="1520" w:hanging="360"/>
      </w:pPr>
      <w:rPr/>
    </w:lvl>
    <w:lvl w:ilvl="1">
      <w:start w:val="1"/>
      <w:numFmt w:val="lowerLetter"/>
      <w:lvlText w:val="%2."/>
      <w:lvlJc w:val="left"/>
      <w:pPr>
        <w:tabs>
          <w:tab w:val="num" w:pos="0"/>
        </w:tabs>
        <w:ind w:left="2020" w:hanging="360"/>
      </w:pPr>
      <w:rPr/>
    </w:lvl>
    <w:lvl w:ilvl="2">
      <w:start w:val="1"/>
      <w:numFmt w:val="lowerRoman"/>
      <w:lvlText w:val="%3."/>
      <w:lvlJc w:val="right"/>
      <w:pPr>
        <w:tabs>
          <w:tab w:val="num" w:pos="0"/>
        </w:tabs>
        <w:ind w:left="2740" w:hanging="180"/>
      </w:pPr>
      <w:rPr/>
    </w:lvl>
    <w:lvl w:ilvl="3">
      <w:start w:val="1"/>
      <w:numFmt w:val="decimal"/>
      <w:lvlText w:val="%4."/>
      <w:lvlJc w:val="left"/>
      <w:pPr>
        <w:tabs>
          <w:tab w:val="num" w:pos="0"/>
        </w:tabs>
        <w:ind w:left="3460" w:hanging="360"/>
      </w:pPr>
      <w:rPr/>
    </w:lvl>
    <w:lvl w:ilvl="4">
      <w:start w:val="1"/>
      <w:numFmt w:val="lowerLetter"/>
      <w:lvlText w:val="%5."/>
      <w:lvlJc w:val="left"/>
      <w:pPr>
        <w:tabs>
          <w:tab w:val="num" w:pos="0"/>
        </w:tabs>
        <w:ind w:left="4180" w:hanging="360"/>
      </w:pPr>
      <w:rPr/>
    </w:lvl>
    <w:lvl w:ilvl="5">
      <w:start w:val="1"/>
      <w:numFmt w:val="lowerRoman"/>
      <w:lvlText w:val="%6."/>
      <w:lvlJc w:val="right"/>
      <w:pPr>
        <w:tabs>
          <w:tab w:val="num" w:pos="0"/>
        </w:tabs>
        <w:ind w:left="4900" w:hanging="180"/>
      </w:pPr>
      <w:rPr/>
    </w:lvl>
    <w:lvl w:ilvl="6">
      <w:start w:val="1"/>
      <w:numFmt w:val="decimal"/>
      <w:lvlText w:val="%7."/>
      <w:lvlJc w:val="left"/>
      <w:pPr>
        <w:tabs>
          <w:tab w:val="num" w:pos="0"/>
        </w:tabs>
        <w:ind w:left="5620" w:hanging="360"/>
      </w:pPr>
      <w:rPr/>
    </w:lvl>
    <w:lvl w:ilvl="7">
      <w:start w:val="1"/>
      <w:numFmt w:val="lowerLetter"/>
      <w:lvlText w:val="%8."/>
      <w:lvlJc w:val="left"/>
      <w:pPr>
        <w:tabs>
          <w:tab w:val="num" w:pos="0"/>
        </w:tabs>
        <w:ind w:left="6340" w:hanging="360"/>
      </w:pPr>
      <w:rPr/>
    </w:lvl>
    <w:lvl w:ilvl="8">
      <w:start w:val="1"/>
      <w:numFmt w:val="lowerRoman"/>
      <w:lvlText w:val="%9."/>
      <w:lvlJc w:val="right"/>
      <w:pPr>
        <w:tabs>
          <w:tab w:val="num" w:pos="0"/>
        </w:tabs>
        <w:ind w:left="7060" w:hanging="180"/>
      </w:pPr>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65"/>
  <w:defaultTabStop w:val="709"/>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Microsoft Sans Serif" w:hAnsi="Microsoft Sans Serif" w:eastAsia="Tahoma" w:cs="Lohit Devanagari"/>
        <w:color w:val="000000"/>
        <w:sz w:val="24"/>
        <w:lang w:val="ru-RU" w:eastAsia="zh-CN" w:bidi="hi-IN"/>
      </w:rPr>
    </w:rPrDefault>
    <w:pPrDefault>
      <w:pPr>
        <w:suppressAutoHyphens w:val="true"/>
      </w:pPr>
    </w:pPrDefault>
  </w:docDefaults>
  <w:latentStyles w:defLockedState="0" w:defUIPriority="99" w:defSemiHidden="1" w:defUnhideWhenUsed="1" w:defQFormat="0" w:count="24">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semiHidden="0" w:unhideWhenUsed="0" w:qFormat="1"/>
    <w:lsdException w:name="heading 7" w:uiPriority="9" w:semiHidden="0" w:unhideWhenUsed="0" w:qFormat="1"/>
    <w:lsdException w:name="heading 8" w:uiPriority="9" w:semiHidden="0" w:unhideWhenUsed="0" w:qFormat="1"/>
    <w:lsdException w:name="heading 9" w:uiPriority="9" w:semiHidden="0" w:unhideWhenUsed="0" w:qFormat="1"/>
    <w:lsdException w:name="Title" w:uiPriority="10" w:semiHidden="0" w:unhideWhenUsed="0" w:qFormat="1"/>
    <w:lsdException w:name="Subtitle" w:uiPriority="11" w:semiHidden="0" w:unhideWhenUsed="0" w:qFormat="1"/>
    <w:lsdException w:name="Header and Footer" w:semiHidden="0" w:unhideWhenUsed="0" w:qFormat="0"/>
    <w:lsdException w:name="Footnote" w:semiHidden="0" w:unhideWhenUsed="0" w:qFormat="0"/>
    <w:lsdException w:name="toc 1" w:uiPriority="39" w:semiHidden="0" w:unhideWhenUsed="0" w:qFormat="0"/>
    <w:lsdException w:name="toc 2" w:uiPriority="39" w:semiHidden="0" w:unhideWhenUsed="0" w:qFormat="0"/>
    <w:lsdException w:name="toc 3" w:uiPriority="39" w:semiHidden="0" w:unhideWhenUsed="0" w:qFormat="0"/>
    <w:lsdException w:name="toc 4" w:uiPriority="39" w:semiHidden="0" w:unhideWhenUsed="0" w:qFormat="0"/>
    <w:lsdException w:name="toc 5" w:uiPriority="39" w:semiHidden="0" w:unhideWhenUsed="0" w:qFormat="0"/>
    <w:lsdException w:name="toc 6" w:uiPriority="39" w:semiHidden="0" w:unhideWhenUsed="0" w:qFormat="0"/>
    <w:lsdException w:name="toc 7" w:uiPriority="39" w:semiHidden="0" w:unhideWhenUsed="0" w:qFormat="0"/>
    <w:lsdException w:name="toc 8" w:uiPriority="39" w:semiHidden="0" w:unhideWhenUsed="0" w:qFormat="0"/>
    <w:lsdException w:name="toc 9" w:uiPriority="39" w:semiHidden="0" w:unhideWhenUsed="0" w:qFormat="0"/>
    <w:lsdException w:name="Hyperlink" w:semiHidden="0" w:unhideWhenUsed="0" w:qFormat="0"/>
  </w:latentStyles>
  <w:style w:type="paragraph" w:styleId="Normal" w:default="1">
    <w:name w:val="Normal"/>
    <w:uiPriority w:val="0"/>
    <w:qFormat/>
    <w:pPr>
      <w:widowControl w:val="false"/>
      <w:bidi w:val="0"/>
      <w:spacing w:lineRule="auto" w:line="240" w:before="0" w:after="0"/>
      <w:ind w:hanging="0" w:left="0" w:right="0"/>
      <w:jc w:val="left"/>
    </w:pPr>
    <w:rPr>
      <w:rFonts w:ascii="Microsoft Sans Serif" w:hAnsi="Microsoft Sans Serif" w:eastAsia="Tahoma" w:cs="Lohit Devanagari"/>
      <w:color w:val="000000"/>
      <w:spacing w:val="0"/>
      <w:kern w:val="0"/>
      <w:sz w:val="24"/>
      <w:szCs w:val="20"/>
      <w:lang w:val="ru-RU" w:eastAsia="zh-CN" w:bidi="hi-IN"/>
    </w:rPr>
  </w:style>
  <w:style w:type="paragraph" w:styleId="Heading1">
    <w:name w:val="Heading 1"/>
    <w:basedOn w:val="Normal"/>
    <w:uiPriority w:val="9"/>
    <w:qFormat/>
    <w:pPr>
      <w:ind w:hanging="0" w:left="4520"/>
      <w:outlineLvl w:val="0"/>
    </w:pPr>
    <w:rPr>
      <w:rFonts w:ascii="Times New Roman" w:hAnsi="Times New Roman"/>
      <w:b/>
      <w:color w:val="000000"/>
      <w:sz w:val="28"/>
    </w:rPr>
  </w:style>
  <w:style w:type="paragraph" w:styleId="Heading2">
    <w:name w:val="Heading 2"/>
    <w:basedOn w:val="Normal"/>
    <w:next w:val="Normal"/>
    <w:uiPriority w:val="9"/>
    <w:qFormat/>
    <w:pPr>
      <w:keepNext w:val="true"/>
      <w:keepLines/>
      <w:spacing w:before="40" w:after="0"/>
      <w:outlineLvl w:val="1"/>
    </w:pPr>
    <w:rPr>
      <w:rFonts w:ascii="Calibri Light" w:hAnsi="Calibri Light" w:asciiTheme="majorAscii" w:hAnsiTheme="majorHAnsi"/>
      <w:color w:themeColor="accent1" w:themeShade="bf" w:val="2E75B5"/>
      <w:sz w:val="26"/>
    </w:rPr>
  </w:style>
  <w:style w:type="paragraph" w:styleId="Heading3">
    <w:name w:val="Heading 3"/>
    <w:basedOn w:val="Normal"/>
    <w:next w:val="Normal"/>
    <w:uiPriority w:val="9"/>
    <w:qFormat/>
    <w:pPr>
      <w:keepNext w:val="true"/>
      <w:keepLines/>
      <w:spacing w:before="320" w:after="200"/>
      <w:outlineLvl w:val="2"/>
    </w:pPr>
    <w:rPr>
      <w:rFonts w:ascii="Arial" w:hAnsi="Arial"/>
      <w:sz w:val="30"/>
    </w:rPr>
  </w:style>
  <w:style w:type="paragraph" w:styleId="Heading4">
    <w:name w:val="Heading 4"/>
    <w:basedOn w:val="Normal"/>
    <w:next w:val="Normal"/>
    <w:uiPriority w:val="9"/>
    <w:qFormat/>
    <w:pPr>
      <w:keepNext w:val="true"/>
      <w:keepLines/>
      <w:spacing w:before="320" w:after="200"/>
      <w:outlineLvl w:val="3"/>
    </w:pPr>
    <w:rPr>
      <w:rFonts w:ascii="Arial" w:hAnsi="Arial"/>
      <w:b/>
      <w:sz w:val="26"/>
    </w:rPr>
  </w:style>
  <w:style w:type="paragraph" w:styleId="Heading5">
    <w:name w:val="Heading 5"/>
    <w:basedOn w:val="Normal"/>
    <w:next w:val="Normal"/>
    <w:uiPriority w:val="9"/>
    <w:qFormat/>
    <w:pPr>
      <w:keepNext w:val="true"/>
      <w:keepLines/>
      <w:spacing w:before="320" w:after="200"/>
      <w:outlineLvl w:val="4"/>
    </w:pPr>
    <w:rPr>
      <w:rFonts w:ascii="Arial" w:hAnsi="Arial"/>
      <w:b/>
    </w:rPr>
  </w:style>
  <w:style w:type="paragraph" w:styleId="Heading6">
    <w:name w:val="Heading 6"/>
    <w:basedOn w:val="Normal"/>
    <w:next w:val="Normal"/>
    <w:uiPriority w:val="9"/>
    <w:qFormat/>
    <w:pPr>
      <w:keepNext w:val="true"/>
      <w:keepLines/>
      <w:spacing w:before="320" w:after="200"/>
      <w:outlineLvl w:val="5"/>
    </w:pPr>
    <w:rPr>
      <w:rFonts w:ascii="Arial" w:hAnsi="Arial"/>
      <w:b/>
      <w:sz w:val="22"/>
    </w:rPr>
  </w:style>
  <w:style w:type="paragraph" w:styleId="Heading7">
    <w:name w:val="Heading 7"/>
    <w:basedOn w:val="Normal"/>
    <w:next w:val="Normal"/>
    <w:uiPriority w:val="9"/>
    <w:qFormat/>
    <w:pPr>
      <w:keepNext w:val="true"/>
      <w:keepLines/>
      <w:spacing w:before="320" w:after="200"/>
      <w:outlineLvl w:val="6"/>
    </w:pPr>
    <w:rPr>
      <w:rFonts w:ascii="Arial" w:hAnsi="Arial"/>
      <w:b/>
      <w:i/>
      <w:sz w:val="22"/>
    </w:rPr>
  </w:style>
  <w:style w:type="paragraph" w:styleId="Heading8">
    <w:name w:val="Heading 8"/>
    <w:basedOn w:val="Normal"/>
    <w:next w:val="Normal"/>
    <w:uiPriority w:val="9"/>
    <w:qFormat/>
    <w:pPr>
      <w:keepNext w:val="true"/>
      <w:keepLines/>
      <w:spacing w:before="320" w:after="200"/>
      <w:outlineLvl w:val="7"/>
    </w:pPr>
    <w:rPr>
      <w:rFonts w:ascii="Arial" w:hAnsi="Arial"/>
      <w:i/>
      <w:sz w:val="22"/>
    </w:rPr>
  </w:style>
  <w:style w:type="paragraph" w:styleId="Heading9">
    <w:name w:val="Heading 9"/>
    <w:basedOn w:val="Normal"/>
    <w:next w:val="Normal"/>
    <w:uiPriority w:val="9"/>
    <w:qFormat/>
    <w:pPr>
      <w:keepNext w:val="true"/>
      <w:keepLines/>
      <w:spacing w:before="320" w:after="200"/>
      <w:outlineLvl w:val="8"/>
    </w:pPr>
    <w:rPr>
      <w:rFonts w:ascii="Arial" w:hAnsi="Arial"/>
      <w:i/>
      <w:sz w:val="21"/>
    </w:rPr>
  </w:style>
  <w:style w:type="character" w:styleId="Endnote">
    <w:name w:val="Endnote"/>
    <w:qFormat/>
    <w:rPr>
      <w:sz w:val="20"/>
    </w:rPr>
  </w:style>
  <w:style w:type="character" w:styleId="Style5">
    <w:name w:val="Заголовок"/>
    <w:link w:val="15"/>
    <w:qFormat/>
    <w:rPr>
      <w:rFonts w:ascii="Open Sans" w:hAnsi="Open Sans"/>
      <w:sz w:val="28"/>
    </w:rPr>
  </w:style>
  <w:style w:type="character" w:styleId="21">
    <w:name w:val="Основной текст (2)1"/>
    <w:link w:val="2111"/>
    <w:qFormat/>
    <w:rPr>
      <w:rFonts w:ascii="Times New Roman" w:hAnsi="Times New Roman"/>
      <w:b/>
      <w:sz w:val="36"/>
    </w:rPr>
  </w:style>
  <w:style w:type="character" w:styleId="List1">
    <w:name w:val="List1"/>
    <w:basedOn w:val="Textbody1"/>
    <w:qFormat/>
    <w:rPr/>
  </w:style>
  <w:style w:type="character" w:styleId="Contents2">
    <w:name w:val="Contents 2"/>
    <w:qFormat/>
    <w:rPr>
      <w:rFonts w:ascii="Times New Roman" w:hAnsi="Times New Roman"/>
      <w:color w:val="000000"/>
      <w:sz w:val="22"/>
    </w:rPr>
  </w:style>
  <w:style w:type="character" w:styleId="Contents5">
    <w:name w:val="Contents 5"/>
    <w:link w:val="Contents52"/>
    <w:qFormat/>
    <w:rPr/>
  </w:style>
  <w:style w:type="character" w:styleId="Contents4">
    <w:name w:val="Contents 4"/>
    <w:qFormat/>
    <w:rPr/>
  </w:style>
  <w:style w:type="character" w:styleId="Heading71">
    <w:name w:val="Heading 71"/>
    <w:qFormat/>
    <w:rPr>
      <w:rFonts w:ascii="Arial" w:hAnsi="Arial"/>
      <w:b/>
      <w:i/>
      <w:sz w:val="22"/>
    </w:rPr>
  </w:style>
  <w:style w:type="character" w:styleId="Header1">
    <w:name w:val="Header1"/>
    <w:qFormat/>
    <w:rPr/>
  </w:style>
  <w:style w:type="character" w:styleId="Style6">
    <w:name w:val="Символ сноски"/>
    <w:link w:val="17"/>
    <w:qFormat/>
    <w:rPr>
      <w:vertAlign w:val="superscript"/>
    </w:rPr>
  </w:style>
  <w:style w:type="character" w:styleId="Contents6">
    <w:name w:val="Contents 6"/>
    <w:qFormat/>
    <w:rPr/>
  </w:style>
  <w:style w:type="character" w:styleId="Contents7">
    <w:name w:val="Contents 7"/>
    <w:qFormat/>
    <w:rPr/>
  </w:style>
  <w:style w:type="character" w:styleId="211">
    <w:name w:val="Колонтитул (2)1"/>
    <w:link w:val="2112"/>
    <w:qFormat/>
    <w:rPr>
      <w:rFonts w:ascii="Times New Roman" w:hAnsi="Times New Roman"/>
      <w:sz w:val="20"/>
    </w:rPr>
  </w:style>
  <w:style w:type="character" w:styleId="11">
    <w:name w:val="Основной текст11"/>
    <w:link w:val="1111"/>
    <w:qFormat/>
    <w:rPr>
      <w:rFonts w:ascii="Times New Roman" w:hAnsi="Times New Roman"/>
      <w:sz w:val="26"/>
    </w:rPr>
  </w:style>
  <w:style w:type="character" w:styleId="Footnote1">
    <w:name w:val="Footnote1"/>
    <w:link w:val="Footnote11"/>
    <w:qFormat/>
    <w:rPr>
      <w:sz w:val="20"/>
    </w:rPr>
  </w:style>
  <w:style w:type="character" w:styleId="Heading61">
    <w:name w:val="Heading 61"/>
    <w:link w:val="Heading611"/>
    <w:qFormat/>
    <w:rPr>
      <w:rFonts w:ascii="Arial" w:hAnsi="Arial"/>
      <w:b/>
      <w:sz w:val="22"/>
    </w:rPr>
  </w:style>
  <w:style w:type="character" w:styleId="Heading31">
    <w:name w:val="Heading 31"/>
    <w:qFormat/>
    <w:rPr>
      <w:rFonts w:ascii="Arial" w:hAnsi="Arial"/>
      <w:sz w:val="30"/>
    </w:rPr>
  </w:style>
  <w:style w:type="character" w:styleId="FootnoteReference">
    <w:name w:val="Footnote Reference"/>
    <w:rPr>
      <w:vertAlign w:val="superscript"/>
    </w:rPr>
  </w:style>
  <w:style w:type="character" w:styleId="Contents1">
    <w:name w:val="Contents 1"/>
    <w:link w:val="Contents12"/>
    <w:qFormat/>
    <w:rPr>
      <w:rFonts w:ascii="Times New Roman" w:hAnsi="Times New Roman"/>
      <w:color w:val="000000"/>
      <w:sz w:val="26"/>
    </w:rPr>
  </w:style>
  <w:style w:type="character" w:styleId="Heading91">
    <w:name w:val="Heading 91"/>
    <w:link w:val="Heading911"/>
    <w:qFormat/>
    <w:rPr>
      <w:rFonts w:ascii="Arial" w:hAnsi="Arial"/>
      <w:i/>
      <w:sz w:val="21"/>
    </w:rPr>
  </w:style>
  <w:style w:type="character" w:styleId="FigureIndex1">
    <w:name w:val="Figure Index 1"/>
    <w:qFormat/>
    <w:rPr/>
  </w:style>
  <w:style w:type="character" w:styleId="FootnoteTextChar1">
    <w:name w:val="Footnote Text Char1"/>
    <w:link w:val="FootnoteTextChar11"/>
    <w:qFormat/>
    <w:rPr>
      <w:rFonts w:ascii="Microsoft Sans Serif" w:hAnsi="Microsoft Sans Serif"/>
      <w:color w:val="000000"/>
      <w:spacing w:val="0"/>
      <w:sz w:val="18"/>
    </w:rPr>
  </w:style>
  <w:style w:type="character" w:styleId="Caption2">
    <w:name w:val="caption2"/>
    <w:link w:val="Caption21"/>
    <w:qFormat/>
    <w:rPr>
      <w:b/>
      <w:color w:themeColor="accent1" w:val="5B9BD5"/>
      <w:sz w:val="18"/>
    </w:rPr>
  </w:style>
  <w:style w:type="character" w:styleId="Title1">
    <w:name w:val="Title1"/>
    <w:link w:val="Title11"/>
    <w:qFormat/>
    <w:rPr>
      <w:sz w:val="48"/>
    </w:rPr>
  </w:style>
  <w:style w:type="character" w:styleId="Contents61">
    <w:name w:val="Contents 61"/>
    <w:link w:val="Contents62"/>
    <w:qFormat/>
    <w:rPr/>
  </w:style>
  <w:style w:type="character" w:styleId="Heading2Char1">
    <w:name w:val="Heading 2 Char1"/>
    <w:basedOn w:val="DefaultParagraphFont1"/>
    <w:link w:val="Heading2Char11"/>
    <w:qFormat/>
    <w:rPr>
      <w:rFonts w:ascii="Arial" w:hAnsi="Arial"/>
      <w:sz w:val="34"/>
    </w:rPr>
  </w:style>
  <w:style w:type="character" w:styleId="Contents41">
    <w:name w:val="Contents 41"/>
    <w:link w:val="Contents42"/>
    <w:qFormat/>
    <w:rPr/>
  </w:style>
  <w:style w:type="character" w:styleId="Heading92">
    <w:name w:val="Heading 92"/>
    <w:qFormat/>
    <w:rPr>
      <w:rFonts w:ascii="Arial" w:hAnsi="Arial"/>
      <w:i/>
      <w:sz w:val="21"/>
    </w:rPr>
  </w:style>
  <w:style w:type="character" w:styleId="Textbody">
    <w:name w:val="Text body"/>
    <w:link w:val="Textbody2"/>
    <w:qFormat/>
    <w:rPr>
      <w:rFonts w:ascii="Times New Roman" w:hAnsi="Times New Roman"/>
      <w:color w:val="000000"/>
      <w:sz w:val="26"/>
    </w:rPr>
  </w:style>
  <w:style w:type="character" w:styleId="Heading21">
    <w:name w:val="Heading 21"/>
    <w:link w:val="Heading211"/>
    <w:qFormat/>
    <w:rPr>
      <w:rFonts w:ascii="Calibri Light" w:hAnsi="Calibri Light" w:asciiTheme="majorAscii" w:hAnsiTheme="majorHAnsi"/>
      <w:color w:themeColor="accent1" w:themeShade="bf" w:val="2E75B5"/>
      <w:sz w:val="26"/>
    </w:rPr>
  </w:style>
  <w:style w:type="character" w:styleId="Style7">
    <w:name w:val="Ссылка указателя"/>
    <w:link w:val="18"/>
    <w:qFormat/>
    <w:rPr/>
  </w:style>
  <w:style w:type="character" w:styleId="FootnoteSymbol">
    <w:name w:val="Footnote Symbol"/>
    <w:basedOn w:val="DefaultParagraphFont1"/>
    <w:link w:val="FootnoteSymbol2"/>
    <w:qFormat/>
    <w:rPr>
      <w:vertAlign w:val="superscript"/>
    </w:rPr>
  </w:style>
  <w:style w:type="character" w:styleId="Heading51">
    <w:name w:val="Heading 51"/>
    <w:link w:val="Heading511"/>
    <w:qFormat/>
    <w:rPr>
      <w:rFonts w:ascii="Arial" w:hAnsi="Arial"/>
      <w:b/>
    </w:rPr>
  </w:style>
  <w:style w:type="character" w:styleId="TableParagraph1">
    <w:name w:val="Table Paragraph1"/>
    <w:link w:val="TableParagraph11"/>
    <w:qFormat/>
    <w:rPr>
      <w:rFonts w:ascii="Times New Roman" w:hAnsi="Times New Roman"/>
      <w:color w:val="000000"/>
      <w:sz w:val="22"/>
    </w:rPr>
  </w:style>
  <w:style w:type="character" w:styleId="Textbody1">
    <w:name w:val="Text body1"/>
    <w:qFormat/>
    <w:rPr>
      <w:rFonts w:ascii="Times New Roman" w:hAnsi="Times New Roman"/>
      <w:color w:val="000000"/>
      <w:sz w:val="26"/>
    </w:rPr>
  </w:style>
  <w:style w:type="character" w:styleId="Contents71">
    <w:name w:val="Contents 71"/>
    <w:link w:val="Contents72"/>
    <w:qFormat/>
    <w:rPr/>
  </w:style>
  <w:style w:type="character" w:styleId="ContentsHeading">
    <w:name w:val="Contents Heading"/>
    <w:basedOn w:val="Heading111"/>
    <w:link w:val="ContentsHeading2"/>
    <w:qFormat/>
    <w:rPr>
      <w:rFonts w:ascii="Calibri Light" w:hAnsi="Calibri Light" w:asciiTheme="majorAscii" w:hAnsiTheme="majorHAnsi"/>
      <w:b w:val="false"/>
      <w:color w:themeColor="accent1" w:themeShade="bf" w:val="2E75B5"/>
      <w:sz w:val="32"/>
    </w:rPr>
  </w:style>
  <w:style w:type="character" w:styleId="Contents9">
    <w:name w:val="Contents 9"/>
    <w:link w:val="Contents92"/>
    <w:qFormat/>
    <w:rPr/>
  </w:style>
  <w:style w:type="character" w:styleId="IntenseQuote1">
    <w:name w:val="Intense Quote1"/>
    <w:link w:val="IntenseQuote11"/>
    <w:qFormat/>
    <w:rPr>
      <w:i/>
    </w:rPr>
  </w:style>
  <w:style w:type="character" w:styleId="Heading711">
    <w:name w:val="Heading 711"/>
    <w:link w:val="Heading712"/>
    <w:qFormat/>
    <w:rPr>
      <w:rFonts w:ascii="Arial" w:hAnsi="Arial"/>
      <w:b/>
      <w:i/>
      <w:sz w:val="22"/>
    </w:rPr>
  </w:style>
  <w:style w:type="character" w:styleId="ContentsHeading1">
    <w:name w:val="Contents Heading1"/>
    <w:basedOn w:val="Heading11"/>
    <w:qFormat/>
    <w:rPr>
      <w:rFonts w:ascii="Calibri Light" w:hAnsi="Calibri Light" w:asciiTheme="majorAscii" w:hAnsiTheme="majorHAnsi"/>
      <w:b w:val="false"/>
      <w:color w:themeColor="accent1" w:themeShade="bf" w:val="2E75B5"/>
      <w:sz w:val="32"/>
    </w:rPr>
  </w:style>
  <w:style w:type="character" w:styleId="DefaultParagraphFont1">
    <w:name w:val="Default Paragraph Font1"/>
    <w:link w:val="DefaultParagraphFont11"/>
    <w:qFormat/>
    <w:rPr>
      <w:rFonts w:ascii="Microsoft Sans Serif" w:hAnsi="Microsoft Sans Serif"/>
      <w:color w:val="000000"/>
      <w:spacing w:val="0"/>
      <w:sz w:val="24"/>
    </w:rPr>
  </w:style>
  <w:style w:type="character" w:styleId="BalloonText1">
    <w:name w:val="Balloon Text1"/>
    <w:link w:val="BalloonText11"/>
    <w:qFormat/>
    <w:rPr>
      <w:rFonts w:ascii="Segoe UI" w:hAnsi="Segoe UI"/>
      <w:sz w:val="18"/>
    </w:rPr>
  </w:style>
  <w:style w:type="character" w:styleId="Contents3">
    <w:name w:val="Contents 3"/>
    <w:qFormat/>
    <w:rPr/>
  </w:style>
  <w:style w:type="character" w:styleId="Contents8">
    <w:name w:val="Contents 8"/>
    <w:link w:val="Contents82"/>
    <w:qFormat/>
    <w:rPr/>
  </w:style>
  <w:style w:type="character" w:styleId="111">
    <w:name w:val="Заголовок №11"/>
    <w:link w:val="1112"/>
    <w:qFormat/>
    <w:rPr>
      <w:rFonts w:ascii="Times New Roman" w:hAnsi="Times New Roman"/>
      <w:b/>
      <w:sz w:val="26"/>
    </w:rPr>
  </w:style>
  <w:style w:type="character" w:styleId="Contents31">
    <w:name w:val="Contents 31"/>
    <w:link w:val="Contents32"/>
    <w:qFormat/>
    <w:rPr/>
  </w:style>
  <w:style w:type="character" w:styleId="Footer1">
    <w:name w:val="Footer1"/>
    <w:link w:val="Footer11"/>
    <w:qFormat/>
    <w:rPr/>
  </w:style>
  <w:style w:type="character" w:styleId="Footer2">
    <w:name w:val="Footer2"/>
    <w:qFormat/>
    <w:rPr/>
  </w:style>
  <w:style w:type="character" w:styleId="Annotationtext1">
    <w:name w:val="annotation text1"/>
    <w:link w:val="Annotationtext11"/>
    <w:qFormat/>
    <w:rPr>
      <w:sz w:val="20"/>
    </w:rPr>
  </w:style>
  <w:style w:type="character" w:styleId="ListParagraph1">
    <w:name w:val="List Paragraph1"/>
    <w:link w:val="ListParagraph11"/>
    <w:qFormat/>
    <w:rPr>
      <w:rFonts w:ascii="Times New Roman" w:hAnsi="Times New Roman"/>
      <w:color w:val="000000"/>
      <w:sz w:val="22"/>
    </w:rPr>
  </w:style>
  <w:style w:type="character" w:styleId="Heading52">
    <w:name w:val="Heading 52"/>
    <w:qFormat/>
    <w:rPr>
      <w:rFonts w:ascii="Arial" w:hAnsi="Arial"/>
      <w:b/>
    </w:rPr>
  </w:style>
  <w:style w:type="character" w:styleId="Annotationsubject1">
    <w:name w:val="annotation subject1"/>
    <w:basedOn w:val="Annotationtext1"/>
    <w:link w:val="Annotationsubject11"/>
    <w:qFormat/>
    <w:rPr>
      <w:b/>
    </w:rPr>
  </w:style>
  <w:style w:type="character" w:styleId="NoSpacing1">
    <w:name w:val="No Spacing1"/>
    <w:link w:val="NoSpacing11"/>
    <w:qFormat/>
    <w:rPr>
      <w:rFonts w:ascii="Microsoft Sans Serif" w:hAnsi="Microsoft Sans Serif"/>
      <w:color w:val="000000"/>
      <w:spacing w:val="0"/>
      <w:sz w:val="24"/>
    </w:rPr>
  </w:style>
  <w:style w:type="character" w:styleId="Heading11">
    <w:name w:val="Heading 11"/>
    <w:qFormat/>
    <w:rPr>
      <w:rFonts w:ascii="Times New Roman" w:hAnsi="Times New Roman"/>
      <w:b/>
      <w:color w:val="000000"/>
      <w:sz w:val="28"/>
    </w:rPr>
  </w:style>
  <w:style w:type="character" w:styleId="Heading111">
    <w:name w:val="Heading 111"/>
    <w:link w:val="Heading112"/>
    <w:qFormat/>
    <w:rPr>
      <w:rFonts w:ascii="Times New Roman" w:hAnsi="Times New Roman"/>
      <w:b/>
      <w:color w:val="000000"/>
      <w:sz w:val="28"/>
    </w:rPr>
  </w:style>
  <w:style w:type="character" w:styleId="2">
    <w:name w:val="Колонтитул2"/>
    <w:link w:val="212"/>
    <w:qFormat/>
    <w:rPr/>
  </w:style>
  <w:style w:type="character" w:styleId="Hyperlink">
    <w:name w:val="Hyperlink"/>
    <w:basedOn w:val="DefaultParagraphFont1"/>
    <w:rPr>
      <w:color w:themeColor="hyperlink" w:val="0563C1"/>
      <w:u w:val="single"/>
    </w:rPr>
  </w:style>
  <w:style w:type="character" w:styleId="Footnote">
    <w:name w:val="Footnote"/>
    <w:link w:val="Footnote2"/>
    <w:qFormat/>
    <w:rPr>
      <w:rFonts w:ascii="Times New Roman" w:hAnsi="Times New Roman"/>
      <w:sz w:val="20"/>
    </w:rPr>
  </w:style>
  <w:style w:type="character" w:styleId="Heading81">
    <w:name w:val="Heading 81"/>
    <w:qFormat/>
    <w:rPr>
      <w:rFonts w:ascii="Arial" w:hAnsi="Arial"/>
      <w:i/>
      <w:sz w:val="22"/>
    </w:rPr>
  </w:style>
  <w:style w:type="character" w:styleId="Contents11">
    <w:name w:val="Contents 11"/>
    <w:qFormat/>
    <w:rPr>
      <w:rFonts w:ascii="Times New Roman" w:hAnsi="Times New Roman"/>
      <w:color w:val="000000"/>
      <w:sz w:val="26"/>
    </w:rPr>
  </w:style>
  <w:style w:type="character" w:styleId="1">
    <w:name w:val="Колонтитул1"/>
    <w:link w:val="112"/>
    <w:qFormat/>
    <w:rPr>
      <w:rFonts w:ascii="Times New Roman" w:hAnsi="Times New Roman"/>
      <w:sz w:val="20"/>
    </w:rPr>
  </w:style>
  <w:style w:type="character" w:styleId="HeaderandFooter">
    <w:name w:val="Header and Footer"/>
    <w:qFormat/>
    <w:rPr>
      <w:rFonts w:ascii="XO Thames" w:hAnsi="XO Thames"/>
      <w:sz w:val="20"/>
    </w:rPr>
  </w:style>
  <w:style w:type="character" w:styleId="Subtitle1">
    <w:name w:val="Subtitle1"/>
    <w:link w:val="Subtitle11"/>
    <w:qFormat/>
    <w:rPr/>
  </w:style>
  <w:style w:type="character" w:styleId="Annotationreference1">
    <w:name w:val="annotation reference1"/>
    <w:basedOn w:val="DefaultParagraphFont1"/>
    <w:link w:val="Annotationreference11"/>
    <w:qFormat/>
    <w:rPr>
      <w:sz w:val="16"/>
    </w:rPr>
  </w:style>
  <w:style w:type="character" w:styleId="Style8">
    <w:name w:val="Указатель"/>
    <w:link w:val="16"/>
    <w:qFormat/>
    <w:rPr/>
  </w:style>
  <w:style w:type="character" w:styleId="EndnoteSymbol">
    <w:name w:val="Endnote Symbol"/>
    <w:basedOn w:val="DefaultParagraphFont1"/>
    <w:link w:val="EndnoteSymbol1"/>
    <w:qFormat/>
    <w:rPr>
      <w:vertAlign w:val="superscript"/>
    </w:rPr>
  </w:style>
  <w:style w:type="character" w:styleId="Contents91">
    <w:name w:val="Contents 91"/>
    <w:qFormat/>
    <w:rPr/>
  </w:style>
  <w:style w:type="character" w:styleId="Internetlink">
    <w:name w:val="Internet link"/>
    <w:basedOn w:val="DefaultParagraphFont1"/>
    <w:link w:val="Internetlink2"/>
    <w:qFormat/>
    <w:rPr>
      <w:color w:themeColor="hyperlink" w:val="0563C1"/>
      <w:u w:val="single"/>
    </w:rPr>
  </w:style>
  <w:style w:type="character" w:styleId="Heading811">
    <w:name w:val="Heading 811"/>
    <w:link w:val="Heading812"/>
    <w:qFormat/>
    <w:rPr>
      <w:rFonts w:ascii="Arial" w:hAnsi="Arial"/>
      <w:i/>
      <w:sz w:val="22"/>
    </w:rPr>
  </w:style>
  <w:style w:type="character" w:styleId="Endnote1">
    <w:name w:val="Endnote1"/>
    <w:link w:val="Endnote2"/>
    <w:qFormat/>
    <w:rPr>
      <w:sz w:val="20"/>
    </w:rPr>
  </w:style>
  <w:style w:type="character" w:styleId="Contents81">
    <w:name w:val="Contents 81"/>
    <w:qFormat/>
    <w:rPr/>
  </w:style>
  <w:style w:type="character" w:styleId="12">
    <w:name w:val="Другое1"/>
    <w:link w:val="113"/>
    <w:qFormat/>
    <w:rPr>
      <w:rFonts w:ascii="Times New Roman" w:hAnsi="Times New Roman"/>
      <w:sz w:val="26"/>
    </w:rPr>
  </w:style>
  <w:style w:type="character" w:styleId="13">
    <w:name w:val="Подпись к таблице1"/>
    <w:link w:val="114"/>
    <w:qFormat/>
    <w:rPr>
      <w:rFonts w:ascii="Times New Roman" w:hAnsi="Times New Roman"/>
      <w:b/>
      <w:sz w:val="26"/>
    </w:rPr>
  </w:style>
  <w:style w:type="character" w:styleId="Caption1">
    <w:name w:val="Caption1"/>
    <w:qFormat/>
    <w:rPr>
      <w:i/>
      <w:sz w:val="24"/>
    </w:rPr>
  </w:style>
  <w:style w:type="character" w:styleId="Heading41">
    <w:name w:val="Heading 41"/>
    <w:link w:val="Heading411"/>
    <w:qFormat/>
    <w:rPr>
      <w:rFonts w:ascii="Arial" w:hAnsi="Arial"/>
      <w:b/>
      <w:sz w:val="26"/>
    </w:rPr>
  </w:style>
  <w:style w:type="character" w:styleId="Contents51">
    <w:name w:val="Contents 51"/>
    <w:qFormat/>
    <w:rPr/>
  </w:style>
  <w:style w:type="character" w:styleId="14">
    <w:name w:val="Оглавление1"/>
    <w:link w:val="115"/>
    <w:qFormat/>
    <w:rPr>
      <w:rFonts w:ascii="Times New Roman" w:hAnsi="Times New Roman"/>
      <w:sz w:val="26"/>
    </w:rPr>
  </w:style>
  <w:style w:type="character" w:styleId="IndexHeading1">
    <w:name w:val="Index Heading1"/>
    <w:basedOn w:val="Style5"/>
    <w:qFormat/>
    <w:rPr/>
  </w:style>
  <w:style w:type="character" w:styleId="Heading1Char1">
    <w:name w:val="Heading 1 Char1"/>
    <w:basedOn w:val="DefaultParagraphFont1"/>
    <w:link w:val="Heading1Char11"/>
    <w:qFormat/>
    <w:rPr>
      <w:rFonts w:ascii="Arial" w:hAnsi="Arial"/>
      <w:sz w:val="40"/>
    </w:rPr>
  </w:style>
  <w:style w:type="character" w:styleId="Subtitle2">
    <w:name w:val="Subtitle2"/>
    <w:qFormat/>
    <w:rPr/>
  </w:style>
  <w:style w:type="character" w:styleId="Header11">
    <w:name w:val="Header11"/>
    <w:link w:val="Header12"/>
    <w:qFormat/>
    <w:rPr/>
  </w:style>
  <w:style w:type="character" w:styleId="FigureIndex11">
    <w:name w:val="Figure Index 11"/>
    <w:link w:val="FigureIndex12"/>
    <w:qFormat/>
    <w:rPr/>
  </w:style>
  <w:style w:type="character" w:styleId="Style9">
    <w:name w:val="Содержимое врезки"/>
    <w:link w:val="19"/>
    <w:qFormat/>
    <w:rPr/>
  </w:style>
  <w:style w:type="character" w:styleId="Style10">
    <w:name w:val="Сноска"/>
    <w:link w:val="FootnoteText"/>
    <w:qFormat/>
    <w:rPr>
      <w:rFonts w:ascii="Times New Roman" w:hAnsi="Times New Roman"/>
      <w:sz w:val="20"/>
    </w:rPr>
  </w:style>
  <w:style w:type="character" w:styleId="Contents21">
    <w:name w:val="Contents 21"/>
    <w:link w:val="Contents22"/>
    <w:qFormat/>
    <w:rPr>
      <w:rFonts w:ascii="Times New Roman" w:hAnsi="Times New Roman"/>
      <w:color w:val="000000"/>
      <w:sz w:val="22"/>
    </w:rPr>
  </w:style>
  <w:style w:type="character" w:styleId="Title2">
    <w:name w:val="Title2"/>
    <w:qFormat/>
    <w:rPr>
      <w:sz w:val="48"/>
    </w:rPr>
  </w:style>
  <w:style w:type="character" w:styleId="Heading42">
    <w:name w:val="Heading 42"/>
    <w:qFormat/>
    <w:rPr>
      <w:rFonts w:ascii="Arial" w:hAnsi="Arial"/>
      <w:b/>
      <w:sz w:val="26"/>
    </w:rPr>
  </w:style>
  <w:style w:type="character" w:styleId="Heading311">
    <w:name w:val="Heading 311"/>
    <w:link w:val="Heading312"/>
    <w:qFormat/>
    <w:rPr>
      <w:rFonts w:ascii="Arial" w:hAnsi="Arial"/>
      <w:sz w:val="30"/>
    </w:rPr>
  </w:style>
  <w:style w:type="character" w:styleId="Style11">
    <w:name w:val="Символ концевой сноски"/>
    <w:link w:val="110"/>
    <w:qFormat/>
    <w:rPr>
      <w:vertAlign w:val="superscript"/>
    </w:rPr>
  </w:style>
  <w:style w:type="character" w:styleId="EndnoteReference">
    <w:name w:val="Endnote Reference"/>
    <w:rPr>
      <w:vertAlign w:val="superscript"/>
    </w:rPr>
  </w:style>
  <w:style w:type="character" w:styleId="Heading22">
    <w:name w:val="Heading 22"/>
    <w:qFormat/>
    <w:rPr>
      <w:rFonts w:ascii="Calibri Light" w:hAnsi="Calibri Light" w:asciiTheme="majorAscii" w:hAnsiTheme="majorHAnsi"/>
      <w:color w:themeColor="accent1" w:themeShade="bf" w:val="2E75B5"/>
      <w:sz w:val="26"/>
    </w:rPr>
  </w:style>
  <w:style w:type="character" w:styleId="Heading62">
    <w:name w:val="Heading 62"/>
    <w:qFormat/>
    <w:rPr>
      <w:rFonts w:ascii="Arial" w:hAnsi="Arial"/>
      <w:b/>
      <w:sz w:val="22"/>
    </w:rPr>
  </w:style>
  <w:style w:type="character" w:styleId="Quote1">
    <w:name w:val="Quote1"/>
    <w:link w:val="Quote11"/>
    <w:qFormat/>
    <w:rPr>
      <w:i/>
    </w:rPr>
  </w:style>
  <w:style w:type="paragraph" w:styleId="15">
    <w:name w:val="Заголовок1"/>
    <w:basedOn w:val="Normal"/>
    <w:next w:val="BodyText"/>
    <w:link w:val="Style5"/>
    <w:qFormat/>
    <w:pPr>
      <w:keepNext w:val="true"/>
      <w:spacing w:before="240" w:after="120"/>
    </w:pPr>
    <w:rPr>
      <w:rFonts w:ascii="Open Sans" w:hAnsi="Open Sans"/>
      <w:sz w:val="28"/>
    </w:rPr>
  </w:style>
  <w:style w:type="paragraph" w:styleId="BodyText">
    <w:name w:val="Body Text"/>
    <w:basedOn w:val="Normal"/>
    <w:pPr/>
    <w:rPr>
      <w:rFonts w:ascii="Times New Roman" w:hAnsi="Times New Roman"/>
      <w:color w:val="000000"/>
      <w:sz w:val="26"/>
    </w:rPr>
  </w:style>
  <w:style w:type="paragraph" w:styleId="List">
    <w:name w:val="List"/>
    <w:basedOn w:val="BodyText"/>
    <w:pPr/>
    <w:rPr/>
  </w:style>
  <w:style w:type="paragraph" w:styleId="Caption">
    <w:name w:val="Caption"/>
    <w:basedOn w:val="Normal"/>
    <w:qFormat/>
    <w:pPr>
      <w:spacing w:before="120" w:after="120"/>
    </w:pPr>
    <w:rPr>
      <w:i/>
      <w:sz w:val="24"/>
    </w:rPr>
  </w:style>
  <w:style w:type="paragraph" w:styleId="16">
    <w:name w:val="Указатель1"/>
    <w:basedOn w:val="Normal"/>
    <w:link w:val="Style8"/>
    <w:qFormat/>
    <w:pPr/>
    <w:rPr/>
  </w:style>
  <w:style w:type="paragraph" w:styleId="EndnoteText">
    <w:name w:val="Endnote Text"/>
    <w:basedOn w:val="Normal"/>
    <w:pPr/>
    <w:rPr>
      <w:sz w:val="20"/>
    </w:rPr>
  </w:style>
  <w:style w:type="paragraph" w:styleId="2111">
    <w:name w:val="Основной текст (2)11"/>
    <w:basedOn w:val="Normal"/>
    <w:link w:val="21"/>
    <w:qFormat/>
    <w:pPr>
      <w:spacing w:before="0" w:after="6740"/>
      <w:jc w:val="center"/>
    </w:pPr>
    <w:rPr>
      <w:rFonts w:ascii="Times New Roman" w:hAnsi="Times New Roman"/>
      <w:b/>
      <w:sz w:val="36"/>
    </w:rPr>
  </w:style>
  <w:style w:type="paragraph" w:styleId="TOC2">
    <w:name w:val="TOC 2"/>
    <w:basedOn w:val="Normal"/>
    <w:next w:val="Normal"/>
    <w:uiPriority w:val="39"/>
    <w:pPr>
      <w:spacing w:before="0" w:after="100"/>
      <w:ind w:hanging="0" w:left="220"/>
    </w:pPr>
    <w:rPr>
      <w:rFonts w:ascii="Times New Roman" w:hAnsi="Times New Roman"/>
      <w:color w:val="000000"/>
      <w:sz w:val="22"/>
    </w:rPr>
  </w:style>
  <w:style w:type="paragraph" w:styleId="Contents52">
    <w:name w:val="Contents 52"/>
    <w:link w:val="Contents5"/>
    <w:qFormat/>
    <w:pPr>
      <w:widowControl/>
      <w:bidi w:val="0"/>
      <w:spacing w:lineRule="auto" w:line="240" w:before="0" w:after="0"/>
      <w:ind w:hanging="0" w:left="0" w:right="0"/>
      <w:jc w:val="left"/>
    </w:pPr>
    <w:rPr>
      <w:rFonts w:ascii="Microsoft Sans Serif" w:hAnsi="Microsoft Sans Serif" w:eastAsia="Tahoma" w:cs="Lohit Devanagari"/>
      <w:color w:val="000000"/>
      <w:spacing w:val="0"/>
      <w:kern w:val="0"/>
      <w:sz w:val="24"/>
      <w:szCs w:val="20"/>
      <w:lang w:val="ru-RU" w:eastAsia="zh-CN" w:bidi="hi-IN"/>
    </w:rPr>
  </w:style>
  <w:style w:type="paragraph" w:styleId="TOC4">
    <w:name w:val="TOC 4"/>
    <w:basedOn w:val="Normal"/>
    <w:next w:val="Normal"/>
    <w:uiPriority w:val="39"/>
    <w:pPr>
      <w:spacing w:before="0" w:after="57"/>
      <w:ind w:hanging="0" w:left="850"/>
    </w:pPr>
    <w:rPr/>
  </w:style>
  <w:style w:type="paragraph" w:styleId="Style12">
    <w:name w:val="Колонтитул"/>
    <w:qFormat/>
    <w:pPr>
      <w:widowControl/>
      <w:bidi w:val="0"/>
      <w:spacing w:lineRule="auto" w:line="240" w:before="0" w:after="0"/>
      <w:ind w:hanging="0" w:left="0" w:right="0"/>
      <w:jc w:val="left"/>
    </w:pPr>
    <w:rPr>
      <w:rFonts w:ascii="XO Thames" w:hAnsi="XO Thames" w:eastAsia="Tahoma" w:cs="Lohit Devanagari"/>
      <w:color w:val="000000"/>
      <w:spacing w:val="0"/>
      <w:kern w:val="0"/>
      <w:sz w:val="20"/>
      <w:szCs w:val="20"/>
      <w:lang w:val="ru-RU" w:eastAsia="zh-CN" w:bidi="hi-IN"/>
    </w:rPr>
  </w:style>
  <w:style w:type="paragraph" w:styleId="Header">
    <w:name w:val="Header"/>
    <w:basedOn w:val="Normal"/>
    <w:pPr>
      <w:tabs>
        <w:tab w:val="clear" w:pos="709"/>
        <w:tab w:val="center" w:pos="7143" w:leader="none"/>
        <w:tab w:val="right" w:pos="14287" w:leader="none"/>
      </w:tabs>
    </w:pPr>
    <w:rPr/>
  </w:style>
  <w:style w:type="paragraph" w:styleId="17">
    <w:name w:val="Символ сноски1"/>
    <w:link w:val="Style6"/>
    <w:qFormat/>
    <w:pPr>
      <w:widowControl/>
      <w:bidi w:val="0"/>
      <w:spacing w:lineRule="auto" w:line="240" w:before="0" w:after="0"/>
      <w:ind w:hanging="0" w:left="0" w:right="0"/>
      <w:jc w:val="left"/>
    </w:pPr>
    <w:rPr>
      <w:rFonts w:ascii="Microsoft Sans Serif" w:hAnsi="Microsoft Sans Serif" w:eastAsia="Tahoma" w:cs="Lohit Devanagari"/>
      <w:color w:val="000000"/>
      <w:spacing w:val="0"/>
      <w:kern w:val="0"/>
      <w:sz w:val="24"/>
      <w:szCs w:val="20"/>
      <w:vertAlign w:val="superscript"/>
      <w:lang w:val="ru-RU" w:eastAsia="zh-CN" w:bidi="hi-IN"/>
    </w:rPr>
  </w:style>
  <w:style w:type="paragraph" w:styleId="TOC6">
    <w:name w:val="TOC 6"/>
    <w:basedOn w:val="Normal"/>
    <w:next w:val="Normal"/>
    <w:uiPriority w:val="39"/>
    <w:pPr>
      <w:spacing w:before="0" w:after="57"/>
      <w:ind w:hanging="0" w:left="1417"/>
    </w:pPr>
    <w:rPr/>
  </w:style>
  <w:style w:type="paragraph" w:styleId="TOC7">
    <w:name w:val="TOC 7"/>
    <w:basedOn w:val="Normal"/>
    <w:next w:val="Normal"/>
    <w:uiPriority w:val="39"/>
    <w:pPr>
      <w:spacing w:before="0" w:after="57"/>
      <w:ind w:hanging="0" w:left="1701"/>
    </w:pPr>
    <w:rPr/>
  </w:style>
  <w:style w:type="paragraph" w:styleId="2112">
    <w:name w:val="Колонтитул (2)11"/>
    <w:basedOn w:val="Normal"/>
    <w:link w:val="211"/>
    <w:qFormat/>
    <w:pPr/>
    <w:rPr>
      <w:rFonts w:ascii="Times New Roman" w:hAnsi="Times New Roman"/>
      <w:sz w:val="20"/>
    </w:rPr>
  </w:style>
  <w:style w:type="paragraph" w:styleId="1111">
    <w:name w:val="Основной текст111"/>
    <w:basedOn w:val="Normal"/>
    <w:link w:val="11"/>
    <w:qFormat/>
    <w:pPr>
      <w:ind w:firstLine="400" w:left="0"/>
    </w:pPr>
    <w:rPr>
      <w:rFonts w:ascii="Times New Roman" w:hAnsi="Times New Roman"/>
      <w:sz w:val="26"/>
    </w:rPr>
  </w:style>
  <w:style w:type="paragraph" w:styleId="Footnote11">
    <w:name w:val="Footnote11"/>
    <w:basedOn w:val="Normal"/>
    <w:link w:val="Footnote1"/>
    <w:qFormat/>
    <w:pPr/>
    <w:rPr>
      <w:sz w:val="20"/>
    </w:rPr>
  </w:style>
  <w:style w:type="paragraph" w:styleId="Heading611">
    <w:name w:val="Heading 611"/>
    <w:link w:val="Heading61"/>
    <w:qFormat/>
    <w:pPr>
      <w:widowControl/>
      <w:bidi w:val="0"/>
      <w:spacing w:lineRule="auto" w:line="240" w:before="0" w:after="0"/>
      <w:ind w:hanging="0" w:left="0" w:right="0"/>
      <w:jc w:val="left"/>
    </w:pPr>
    <w:rPr>
      <w:rFonts w:ascii="Arial" w:hAnsi="Arial" w:eastAsia="Tahoma" w:cs="Lohit Devanagari"/>
      <w:b/>
      <w:color w:val="000000"/>
      <w:spacing w:val="0"/>
      <w:kern w:val="0"/>
      <w:sz w:val="22"/>
      <w:szCs w:val="20"/>
      <w:lang w:val="ru-RU" w:eastAsia="zh-CN" w:bidi="hi-IN"/>
    </w:rPr>
  </w:style>
  <w:style w:type="paragraph" w:styleId="FootnoteSymbol1">
    <w:name w:val="Footnote Symbol1"/>
    <w:qFormat/>
    <w:pPr>
      <w:widowControl/>
      <w:bidi w:val="0"/>
      <w:spacing w:lineRule="auto" w:line="240" w:before="0" w:after="0"/>
      <w:ind w:hanging="0" w:left="0" w:right="0"/>
      <w:jc w:val="left"/>
    </w:pPr>
    <w:rPr>
      <w:rFonts w:ascii="Microsoft Sans Serif" w:hAnsi="Microsoft Sans Serif" w:eastAsia="Tahoma" w:cs="Lohit Devanagari"/>
      <w:color w:val="000000"/>
      <w:spacing w:val="0"/>
      <w:kern w:val="0"/>
      <w:sz w:val="24"/>
      <w:szCs w:val="20"/>
      <w:vertAlign w:val="superscript"/>
      <w:lang w:val="ru-RU" w:eastAsia="zh-CN" w:bidi="hi-IN"/>
    </w:rPr>
  </w:style>
  <w:style w:type="paragraph" w:styleId="Contents12">
    <w:name w:val="Contents 12"/>
    <w:link w:val="Contents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6"/>
      <w:szCs w:val="20"/>
      <w:lang w:val="ru-RU" w:eastAsia="zh-CN" w:bidi="hi-IN"/>
    </w:rPr>
  </w:style>
  <w:style w:type="paragraph" w:styleId="Heading911">
    <w:name w:val="Heading 911"/>
    <w:link w:val="Heading91"/>
    <w:qFormat/>
    <w:pPr>
      <w:widowControl/>
      <w:bidi w:val="0"/>
      <w:spacing w:lineRule="auto" w:line="240" w:before="0" w:after="0"/>
      <w:ind w:hanging="0" w:left="0" w:right="0"/>
      <w:jc w:val="left"/>
    </w:pPr>
    <w:rPr>
      <w:rFonts w:ascii="Arial" w:hAnsi="Arial" w:eastAsia="Tahoma" w:cs="Lohit Devanagari"/>
      <w:i/>
      <w:color w:val="000000"/>
      <w:spacing w:val="0"/>
      <w:kern w:val="0"/>
      <w:sz w:val="21"/>
      <w:szCs w:val="20"/>
      <w:lang w:val="ru-RU" w:eastAsia="zh-CN" w:bidi="hi-IN"/>
    </w:rPr>
  </w:style>
  <w:style w:type="paragraph" w:styleId="TableofFigures">
    <w:name w:val="Table of Figures"/>
    <w:basedOn w:val="Normal"/>
    <w:next w:val="Normal"/>
    <w:pPr/>
    <w:rPr/>
  </w:style>
  <w:style w:type="paragraph" w:styleId="FootnoteTextChar11">
    <w:name w:val="Footnote Text Char11"/>
    <w:link w:val="FootnoteTextChar1"/>
    <w:qFormat/>
    <w:pPr>
      <w:widowControl w:val="false"/>
      <w:bidi w:val="0"/>
      <w:spacing w:lineRule="auto" w:line="240" w:before="0" w:after="0"/>
      <w:ind w:hanging="0" w:left="0" w:right="0"/>
      <w:jc w:val="left"/>
    </w:pPr>
    <w:rPr>
      <w:rFonts w:ascii="Microsoft Sans Serif" w:hAnsi="Microsoft Sans Serif" w:eastAsia="Tahoma" w:cs="Lohit Devanagari"/>
      <w:color w:val="000000"/>
      <w:spacing w:val="0"/>
      <w:kern w:val="0"/>
      <w:sz w:val="18"/>
      <w:szCs w:val="20"/>
      <w:lang w:val="ru-RU" w:eastAsia="zh-CN" w:bidi="hi-IN"/>
    </w:rPr>
  </w:style>
  <w:style w:type="paragraph" w:styleId="Caption21">
    <w:name w:val="caption21"/>
    <w:basedOn w:val="Normal"/>
    <w:next w:val="Normal"/>
    <w:link w:val="Caption2"/>
    <w:qFormat/>
    <w:pPr>
      <w:spacing w:lineRule="auto" w:line="276"/>
    </w:pPr>
    <w:rPr>
      <w:b/>
      <w:color w:themeColor="accent1" w:val="5B9BD5"/>
      <w:sz w:val="18"/>
    </w:rPr>
  </w:style>
  <w:style w:type="paragraph" w:styleId="Title11">
    <w:name w:val="Title11"/>
    <w:link w:val="Title1"/>
    <w:qFormat/>
    <w:pPr>
      <w:widowControl/>
      <w:bidi w:val="0"/>
      <w:spacing w:lineRule="auto" w:line="240" w:before="0" w:after="0"/>
      <w:ind w:hanging="0" w:left="0" w:right="0"/>
      <w:jc w:val="left"/>
    </w:pPr>
    <w:rPr>
      <w:rFonts w:ascii="Microsoft Sans Serif" w:hAnsi="Microsoft Sans Serif" w:eastAsia="Tahoma" w:cs="Lohit Devanagari"/>
      <w:color w:val="000000"/>
      <w:spacing w:val="0"/>
      <w:kern w:val="0"/>
      <w:sz w:val="48"/>
      <w:szCs w:val="20"/>
      <w:lang w:val="ru-RU" w:eastAsia="zh-CN" w:bidi="hi-IN"/>
    </w:rPr>
  </w:style>
  <w:style w:type="paragraph" w:styleId="Contents62">
    <w:name w:val="Contents 62"/>
    <w:link w:val="Contents61"/>
    <w:qFormat/>
    <w:pPr>
      <w:widowControl/>
      <w:bidi w:val="0"/>
      <w:spacing w:lineRule="auto" w:line="240" w:before="0" w:after="0"/>
      <w:ind w:hanging="0" w:left="0" w:right="0"/>
      <w:jc w:val="left"/>
    </w:pPr>
    <w:rPr>
      <w:rFonts w:ascii="Microsoft Sans Serif" w:hAnsi="Microsoft Sans Serif" w:eastAsia="Tahoma" w:cs="Lohit Devanagari"/>
      <w:color w:val="000000"/>
      <w:spacing w:val="0"/>
      <w:kern w:val="0"/>
      <w:sz w:val="24"/>
      <w:szCs w:val="20"/>
      <w:lang w:val="ru-RU" w:eastAsia="zh-CN" w:bidi="hi-IN"/>
    </w:rPr>
  </w:style>
  <w:style w:type="paragraph" w:styleId="Heading2Char11">
    <w:name w:val="Heading 2 Char11"/>
    <w:basedOn w:val="DefaultParagraphFont11"/>
    <w:link w:val="Heading2Char1"/>
    <w:qFormat/>
    <w:pPr/>
    <w:rPr>
      <w:rFonts w:ascii="Arial" w:hAnsi="Arial"/>
      <w:sz w:val="34"/>
    </w:rPr>
  </w:style>
  <w:style w:type="paragraph" w:styleId="Contents42">
    <w:name w:val="Contents 42"/>
    <w:link w:val="Contents41"/>
    <w:qFormat/>
    <w:pPr>
      <w:widowControl/>
      <w:bidi w:val="0"/>
      <w:spacing w:lineRule="auto" w:line="240" w:before="0" w:after="0"/>
      <w:ind w:hanging="0" w:left="0" w:right="0"/>
      <w:jc w:val="left"/>
    </w:pPr>
    <w:rPr>
      <w:rFonts w:ascii="Microsoft Sans Serif" w:hAnsi="Microsoft Sans Serif" w:eastAsia="Tahoma" w:cs="Lohit Devanagari"/>
      <w:color w:val="000000"/>
      <w:spacing w:val="0"/>
      <w:kern w:val="0"/>
      <w:sz w:val="24"/>
      <w:szCs w:val="20"/>
      <w:lang w:val="ru-RU" w:eastAsia="zh-CN" w:bidi="hi-IN"/>
    </w:rPr>
  </w:style>
  <w:style w:type="paragraph" w:styleId="Textbody2">
    <w:name w:val="Text body2"/>
    <w:link w:val="Textbody"/>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6"/>
      <w:szCs w:val="20"/>
      <w:lang w:val="ru-RU" w:eastAsia="zh-CN" w:bidi="hi-IN"/>
    </w:rPr>
  </w:style>
  <w:style w:type="paragraph" w:styleId="Heading211">
    <w:name w:val="Heading 211"/>
    <w:link w:val="Heading21"/>
    <w:qFormat/>
    <w:pPr>
      <w:widowControl/>
      <w:bidi w:val="0"/>
      <w:spacing w:lineRule="auto" w:line="240" w:before="0" w:after="0"/>
      <w:ind w:hanging="0" w:left="0" w:right="0"/>
      <w:jc w:val="left"/>
    </w:pPr>
    <w:rPr>
      <w:rFonts w:ascii="Calibri Light" w:hAnsi="Calibri Light" w:asciiTheme="majorAscii" w:hAnsiTheme="majorHAnsi" w:eastAsia="Tahoma" w:cs="Lohit Devanagari"/>
      <w:color w:themeColor="accent1" w:themeShade="bf" w:val="2E75B5"/>
      <w:spacing w:val="0"/>
      <w:kern w:val="0"/>
      <w:sz w:val="26"/>
      <w:szCs w:val="20"/>
      <w:lang w:val="ru-RU" w:eastAsia="zh-CN" w:bidi="hi-IN"/>
    </w:rPr>
  </w:style>
  <w:style w:type="paragraph" w:styleId="18">
    <w:name w:val="Ссылка указателя1"/>
    <w:link w:val="Style7"/>
    <w:qFormat/>
    <w:pPr>
      <w:widowControl/>
      <w:bidi w:val="0"/>
      <w:spacing w:lineRule="auto" w:line="240" w:before="0" w:after="0"/>
      <w:ind w:hanging="0" w:left="0" w:right="0"/>
      <w:jc w:val="left"/>
    </w:pPr>
    <w:rPr>
      <w:rFonts w:ascii="Microsoft Sans Serif" w:hAnsi="Microsoft Sans Serif" w:eastAsia="Tahoma" w:cs="Lohit Devanagari"/>
      <w:color w:val="000000"/>
      <w:spacing w:val="0"/>
      <w:kern w:val="0"/>
      <w:sz w:val="24"/>
      <w:szCs w:val="20"/>
      <w:lang w:val="ru-RU" w:eastAsia="zh-CN" w:bidi="hi-IN"/>
    </w:rPr>
  </w:style>
  <w:style w:type="paragraph" w:styleId="FootnoteSymbol2">
    <w:name w:val="Footnote Symbol2"/>
    <w:basedOn w:val="DefaultParagraphFont11"/>
    <w:link w:val="FootnoteSymbol"/>
    <w:qFormat/>
    <w:pPr/>
    <w:rPr>
      <w:vertAlign w:val="superscript"/>
    </w:rPr>
  </w:style>
  <w:style w:type="paragraph" w:styleId="Heading511">
    <w:name w:val="Heading 511"/>
    <w:link w:val="Heading51"/>
    <w:qFormat/>
    <w:pPr>
      <w:widowControl/>
      <w:bidi w:val="0"/>
      <w:spacing w:lineRule="auto" w:line="240" w:before="0" w:after="0"/>
      <w:ind w:hanging="0" w:left="0" w:right="0"/>
      <w:jc w:val="left"/>
    </w:pPr>
    <w:rPr>
      <w:rFonts w:ascii="Arial" w:hAnsi="Arial" w:eastAsia="Tahoma" w:cs="Lohit Devanagari"/>
      <w:b/>
      <w:color w:val="000000"/>
      <w:spacing w:val="0"/>
      <w:kern w:val="0"/>
      <w:sz w:val="24"/>
      <w:szCs w:val="20"/>
      <w:lang w:val="ru-RU" w:eastAsia="zh-CN" w:bidi="hi-IN"/>
    </w:rPr>
  </w:style>
  <w:style w:type="paragraph" w:styleId="TableParagraph11">
    <w:name w:val="Table Paragraph11"/>
    <w:basedOn w:val="Normal"/>
    <w:link w:val="TableParagraph1"/>
    <w:qFormat/>
    <w:pPr/>
    <w:rPr>
      <w:rFonts w:ascii="Times New Roman" w:hAnsi="Times New Roman"/>
      <w:color w:val="000000"/>
      <w:sz w:val="22"/>
    </w:rPr>
  </w:style>
  <w:style w:type="paragraph" w:styleId="Contents72">
    <w:name w:val="Contents 72"/>
    <w:link w:val="Contents71"/>
    <w:qFormat/>
    <w:pPr>
      <w:widowControl/>
      <w:bidi w:val="0"/>
      <w:spacing w:lineRule="auto" w:line="240" w:before="0" w:after="0"/>
      <w:ind w:hanging="0" w:left="0" w:right="0"/>
      <w:jc w:val="left"/>
    </w:pPr>
    <w:rPr>
      <w:rFonts w:ascii="Microsoft Sans Serif" w:hAnsi="Microsoft Sans Serif" w:eastAsia="Tahoma" w:cs="Lohit Devanagari"/>
      <w:color w:val="000000"/>
      <w:spacing w:val="0"/>
      <w:kern w:val="0"/>
      <w:sz w:val="24"/>
      <w:szCs w:val="20"/>
      <w:lang w:val="ru-RU" w:eastAsia="zh-CN" w:bidi="hi-IN"/>
    </w:rPr>
  </w:style>
  <w:style w:type="paragraph" w:styleId="ContentsHeading2">
    <w:name w:val="Contents Heading2"/>
    <w:basedOn w:val="Heading112"/>
    <w:link w:val="ContentsHeading"/>
    <w:qFormat/>
    <w:pPr/>
    <w:rPr>
      <w:rFonts w:ascii="Calibri Light" w:hAnsi="Calibri Light" w:asciiTheme="majorAscii" w:hAnsiTheme="majorHAnsi"/>
      <w:b w:val="false"/>
      <w:color w:themeColor="accent1" w:themeShade="bf" w:val="2E75B5"/>
      <w:sz w:val="32"/>
    </w:rPr>
  </w:style>
  <w:style w:type="paragraph" w:styleId="Contents92">
    <w:name w:val="Contents 92"/>
    <w:link w:val="Contents9"/>
    <w:qFormat/>
    <w:pPr>
      <w:widowControl/>
      <w:bidi w:val="0"/>
      <w:spacing w:lineRule="auto" w:line="240" w:before="0" w:after="0"/>
      <w:ind w:hanging="0" w:left="0" w:right="0"/>
      <w:jc w:val="left"/>
    </w:pPr>
    <w:rPr>
      <w:rFonts w:ascii="Microsoft Sans Serif" w:hAnsi="Microsoft Sans Serif" w:eastAsia="Tahoma" w:cs="Lohit Devanagari"/>
      <w:color w:val="000000"/>
      <w:spacing w:val="0"/>
      <w:kern w:val="0"/>
      <w:sz w:val="24"/>
      <w:szCs w:val="20"/>
      <w:lang w:val="ru-RU" w:eastAsia="zh-CN" w:bidi="hi-IN"/>
    </w:rPr>
  </w:style>
  <w:style w:type="paragraph" w:styleId="IntenseQuote11">
    <w:name w:val="Intense Quote11"/>
    <w:basedOn w:val="Normal"/>
    <w:next w:val="Normal"/>
    <w:link w:val="IntenseQuote1"/>
    <w:qFormat/>
    <w:pPr>
      <w:ind w:hanging="0" w:left="720" w:right="720"/>
    </w:pPr>
    <w:rPr>
      <w:i/>
    </w:rPr>
  </w:style>
  <w:style w:type="paragraph" w:styleId="Heading712">
    <w:name w:val="Heading 712"/>
    <w:link w:val="Heading711"/>
    <w:qFormat/>
    <w:pPr>
      <w:widowControl/>
      <w:bidi w:val="0"/>
      <w:spacing w:lineRule="auto" w:line="240" w:before="0" w:after="0"/>
      <w:ind w:hanging="0" w:left="0" w:right="0"/>
      <w:jc w:val="left"/>
    </w:pPr>
    <w:rPr>
      <w:rFonts w:ascii="Arial" w:hAnsi="Arial" w:eastAsia="Tahoma" w:cs="Lohit Devanagari"/>
      <w:b/>
      <w:i/>
      <w:color w:val="000000"/>
      <w:spacing w:val="0"/>
      <w:kern w:val="0"/>
      <w:sz w:val="22"/>
      <w:szCs w:val="20"/>
      <w:lang w:val="ru-RU" w:eastAsia="zh-CN" w:bidi="hi-IN"/>
    </w:rPr>
  </w:style>
  <w:style w:type="paragraph" w:styleId="IndexHeading">
    <w:name w:val="Index Heading"/>
    <w:basedOn w:val="15"/>
    <w:pPr/>
    <w:rPr/>
  </w:style>
  <w:style w:type="paragraph" w:styleId="TOCHeading">
    <w:name w:val="TOC Heading"/>
    <w:basedOn w:val="Heading1"/>
    <w:next w:val="Normal"/>
    <w:qFormat/>
    <w:pPr>
      <w:keepNext w:val="true"/>
      <w:keepLines/>
      <w:widowControl/>
      <w:spacing w:lineRule="auto" w:line="264" w:before="240" w:after="120"/>
      <w:ind w:hanging="0" w:left="0"/>
      <w:outlineLvl w:val="8"/>
    </w:pPr>
    <w:rPr>
      <w:rFonts w:ascii="Calibri Light" w:hAnsi="Calibri Light" w:asciiTheme="majorAscii" w:hAnsiTheme="majorHAnsi"/>
      <w:b w:val="false"/>
      <w:color w:themeColor="accent1" w:themeShade="bf" w:val="2E75B5"/>
      <w:sz w:val="32"/>
    </w:rPr>
  </w:style>
  <w:style w:type="paragraph" w:styleId="DefaultParagraphFont11">
    <w:name w:val="Default Paragraph Font11"/>
    <w:link w:val="DefaultParagraphFont1"/>
    <w:qFormat/>
    <w:pPr>
      <w:widowControl w:val="false"/>
      <w:bidi w:val="0"/>
      <w:spacing w:lineRule="auto" w:line="240" w:before="0" w:after="0"/>
      <w:ind w:hanging="0" w:left="0" w:right="0"/>
      <w:jc w:val="left"/>
    </w:pPr>
    <w:rPr>
      <w:rFonts w:ascii="Microsoft Sans Serif" w:hAnsi="Microsoft Sans Serif" w:eastAsia="Tahoma" w:cs="Lohit Devanagari"/>
      <w:color w:val="000000"/>
      <w:spacing w:val="0"/>
      <w:kern w:val="0"/>
      <w:sz w:val="24"/>
      <w:szCs w:val="20"/>
      <w:lang w:val="ru-RU" w:eastAsia="zh-CN" w:bidi="hi-IN"/>
    </w:rPr>
  </w:style>
  <w:style w:type="paragraph" w:styleId="BalloonText11">
    <w:name w:val="Balloon Text11"/>
    <w:basedOn w:val="Normal"/>
    <w:link w:val="BalloonText1"/>
    <w:qFormat/>
    <w:pPr/>
    <w:rPr>
      <w:rFonts w:ascii="Segoe UI" w:hAnsi="Segoe UI"/>
      <w:sz w:val="18"/>
    </w:rPr>
  </w:style>
  <w:style w:type="paragraph" w:styleId="TOC3">
    <w:name w:val="TOC 3"/>
    <w:basedOn w:val="Normal"/>
    <w:next w:val="Normal"/>
    <w:uiPriority w:val="39"/>
    <w:pPr>
      <w:spacing w:before="0" w:after="57"/>
      <w:ind w:hanging="0" w:left="567"/>
    </w:pPr>
    <w:rPr/>
  </w:style>
  <w:style w:type="paragraph" w:styleId="Contents82">
    <w:name w:val="Contents 82"/>
    <w:link w:val="Contents8"/>
    <w:qFormat/>
    <w:pPr>
      <w:widowControl/>
      <w:bidi w:val="0"/>
      <w:spacing w:lineRule="auto" w:line="240" w:before="0" w:after="0"/>
      <w:ind w:hanging="0" w:left="0" w:right="0"/>
      <w:jc w:val="left"/>
    </w:pPr>
    <w:rPr>
      <w:rFonts w:ascii="Microsoft Sans Serif" w:hAnsi="Microsoft Sans Serif" w:eastAsia="Tahoma" w:cs="Lohit Devanagari"/>
      <w:color w:val="000000"/>
      <w:spacing w:val="0"/>
      <w:kern w:val="0"/>
      <w:sz w:val="24"/>
      <w:szCs w:val="20"/>
      <w:lang w:val="ru-RU" w:eastAsia="zh-CN" w:bidi="hi-IN"/>
    </w:rPr>
  </w:style>
  <w:style w:type="paragraph" w:styleId="1112">
    <w:name w:val="Заголовок №111"/>
    <w:basedOn w:val="Normal"/>
    <w:link w:val="111"/>
    <w:qFormat/>
    <w:pPr>
      <w:spacing w:before="0" w:after="270"/>
      <w:outlineLvl w:val="0"/>
    </w:pPr>
    <w:rPr>
      <w:rFonts w:ascii="Times New Roman" w:hAnsi="Times New Roman"/>
      <w:b/>
      <w:sz w:val="26"/>
    </w:rPr>
  </w:style>
  <w:style w:type="paragraph" w:styleId="Contents32">
    <w:name w:val="Contents 32"/>
    <w:link w:val="Contents31"/>
    <w:qFormat/>
    <w:pPr>
      <w:widowControl/>
      <w:bidi w:val="0"/>
      <w:spacing w:lineRule="auto" w:line="240" w:before="0" w:after="0"/>
      <w:ind w:hanging="0" w:left="0" w:right="0"/>
      <w:jc w:val="left"/>
    </w:pPr>
    <w:rPr>
      <w:rFonts w:ascii="Microsoft Sans Serif" w:hAnsi="Microsoft Sans Serif" w:eastAsia="Tahoma" w:cs="Lohit Devanagari"/>
      <w:color w:val="000000"/>
      <w:spacing w:val="0"/>
      <w:kern w:val="0"/>
      <w:sz w:val="24"/>
      <w:szCs w:val="20"/>
      <w:lang w:val="ru-RU" w:eastAsia="zh-CN" w:bidi="hi-IN"/>
    </w:rPr>
  </w:style>
  <w:style w:type="paragraph" w:styleId="Footer11">
    <w:name w:val="Footer11"/>
    <w:link w:val="Footer1"/>
    <w:qFormat/>
    <w:pPr>
      <w:widowControl/>
      <w:bidi w:val="0"/>
      <w:spacing w:lineRule="auto" w:line="240" w:before="0" w:after="0"/>
      <w:ind w:hanging="0" w:left="0" w:right="0"/>
      <w:jc w:val="left"/>
    </w:pPr>
    <w:rPr>
      <w:rFonts w:ascii="Microsoft Sans Serif" w:hAnsi="Microsoft Sans Serif" w:eastAsia="Tahoma" w:cs="Lohit Devanagari"/>
      <w:color w:val="000000"/>
      <w:spacing w:val="0"/>
      <w:kern w:val="0"/>
      <w:sz w:val="24"/>
      <w:szCs w:val="20"/>
      <w:lang w:val="ru-RU" w:eastAsia="zh-CN" w:bidi="hi-IN"/>
    </w:rPr>
  </w:style>
  <w:style w:type="paragraph" w:styleId="Footer">
    <w:name w:val="Footer"/>
    <w:basedOn w:val="Normal"/>
    <w:pPr>
      <w:tabs>
        <w:tab w:val="clear" w:pos="709"/>
        <w:tab w:val="center" w:pos="7143" w:leader="none"/>
        <w:tab w:val="right" w:pos="14287" w:leader="none"/>
      </w:tabs>
    </w:pPr>
    <w:rPr/>
  </w:style>
  <w:style w:type="paragraph" w:styleId="Annotationtext11">
    <w:name w:val="annotation text11"/>
    <w:basedOn w:val="Normal"/>
    <w:link w:val="Annotationtext1"/>
    <w:qFormat/>
    <w:pPr/>
    <w:rPr>
      <w:sz w:val="20"/>
    </w:rPr>
  </w:style>
  <w:style w:type="paragraph" w:styleId="ListParagraph11">
    <w:name w:val="List Paragraph11"/>
    <w:basedOn w:val="Normal"/>
    <w:link w:val="ListParagraph1"/>
    <w:qFormat/>
    <w:pPr>
      <w:ind w:firstLine="709" w:left="112"/>
    </w:pPr>
    <w:rPr>
      <w:rFonts w:ascii="Times New Roman" w:hAnsi="Times New Roman"/>
      <w:color w:val="000000"/>
      <w:sz w:val="22"/>
    </w:rPr>
  </w:style>
  <w:style w:type="paragraph" w:styleId="Annotationsubject11">
    <w:name w:val="annotation subject11"/>
    <w:basedOn w:val="Annotationtext11"/>
    <w:next w:val="Annotationtext11"/>
    <w:link w:val="Annotationsubject1"/>
    <w:qFormat/>
    <w:pPr/>
    <w:rPr>
      <w:b/>
    </w:rPr>
  </w:style>
  <w:style w:type="paragraph" w:styleId="NoSpacing11">
    <w:name w:val="No Spacing11"/>
    <w:link w:val="NoSpacing1"/>
    <w:qFormat/>
    <w:pPr>
      <w:widowControl w:val="false"/>
      <w:bidi w:val="0"/>
      <w:spacing w:lineRule="auto" w:line="240" w:before="0" w:after="0"/>
      <w:ind w:hanging="0" w:left="0" w:right="0"/>
      <w:jc w:val="left"/>
    </w:pPr>
    <w:rPr>
      <w:rFonts w:ascii="Microsoft Sans Serif" w:hAnsi="Microsoft Sans Serif" w:eastAsia="Tahoma" w:cs="Lohit Devanagari"/>
      <w:color w:val="000000"/>
      <w:spacing w:val="0"/>
      <w:kern w:val="0"/>
      <w:sz w:val="24"/>
      <w:szCs w:val="20"/>
      <w:lang w:val="ru-RU" w:eastAsia="zh-CN" w:bidi="hi-IN"/>
    </w:rPr>
  </w:style>
  <w:style w:type="paragraph" w:styleId="Heading112">
    <w:name w:val="Heading 112"/>
    <w:link w:val="Heading111"/>
    <w:qFormat/>
    <w:pPr>
      <w:widowControl/>
      <w:bidi w:val="0"/>
      <w:spacing w:lineRule="auto" w:line="240" w:before="0" w:after="0"/>
      <w:ind w:hanging="0" w:left="0" w:right="0"/>
      <w:jc w:val="left"/>
    </w:pPr>
    <w:rPr>
      <w:rFonts w:ascii="Times New Roman" w:hAnsi="Times New Roman" w:eastAsia="Tahoma" w:cs="Lohit Devanagari"/>
      <w:b/>
      <w:color w:val="000000"/>
      <w:spacing w:val="0"/>
      <w:kern w:val="0"/>
      <w:sz w:val="28"/>
      <w:szCs w:val="20"/>
      <w:lang w:val="ru-RU" w:eastAsia="zh-CN" w:bidi="hi-IN"/>
    </w:rPr>
  </w:style>
  <w:style w:type="paragraph" w:styleId="212">
    <w:name w:val="Колонтитул21"/>
    <w:basedOn w:val="Normal"/>
    <w:link w:val="2"/>
    <w:qFormat/>
    <w:pPr/>
    <w:rPr/>
  </w:style>
  <w:style w:type="paragraph" w:styleId="Internetlink1">
    <w:name w:val="Internet link1"/>
    <w:basedOn w:val="DefaultParagraphFont11"/>
    <w:qFormat/>
    <w:pPr/>
    <w:rPr>
      <w:color w:themeColor="hyperlink" w:val="0563C1"/>
      <w:u w:val="single"/>
    </w:rPr>
  </w:style>
  <w:style w:type="paragraph" w:styleId="Footnote2">
    <w:name w:val="Footnote2"/>
    <w:basedOn w:val="Normal"/>
    <w:link w:val="Footnote"/>
    <w:qFormat/>
    <w:pPr>
      <w:ind w:firstLine="440" w:left="0"/>
    </w:pPr>
    <w:rPr>
      <w:rFonts w:ascii="Times New Roman" w:hAnsi="Times New Roman"/>
      <w:sz w:val="20"/>
    </w:rPr>
  </w:style>
  <w:style w:type="paragraph" w:styleId="TOC1">
    <w:name w:val="TOC 1"/>
    <w:basedOn w:val="Normal"/>
    <w:uiPriority w:val="39"/>
    <w:pPr>
      <w:spacing w:lineRule="exact" w:line="298"/>
      <w:ind w:hanging="454" w:left="566"/>
    </w:pPr>
    <w:rPr>
      <w:rFonts w:ascii="Times New Roman" w:hAnsi="Times New Roman"/>
      <w:color w:val="000000"/>
      <w:sz w:val="26"/>
    </w:rPr>
  </w:style>
  <w:style w:type="paragraph" w:styleId="112">
    <w:name w:val="Колонтитул11"/>
    <w:basedOn w:val="Normal"/>
    <w:link w:val="1"/>
    <w:qFormat/>
    <w:pPr/>
    <w:rPr>
      <w:rFonts w:ascii="Times New Roman" w:hAnsi="Times New Roman"/>
      <w:sz w:val="20"/>
    </w:rPr>
  </w:style>
  <w:style w:type="paragraph" w:styleId="Subtitle11">
    <w:name w:val="Subtitle11"/>
    <w:link w:val="Subtitle1"/>
    <w:qFormat/>
    <w:pPr>
      <w:widowControl/>
      <w:bidi w:val="0"/>
      <w:spacing w:lineRule="auto" w:line="240" w:before="0" w:after="0"/>
      <w:ind w:hanging="0" w:left="0" w:right="0"/>
      <w:jc w:val="left"/>
    </w:pPr>
    <w:rPr>
      <w:rFonts w:ascii="Microsoft Sans Serif" w:hAnsi="Microsoft Sans Serif" w:eastAsia="Tahoma" w:cs="Lohit Devanagari"/>
      <w:color w:val="000000"/>
      <w:spacing w:val="0"/>
      <w:kern w:val="0"/>
      <w:sz w:val="24"/>
      <w:szCs w:val="20"/>
      <w:lang w:val="ru-RU" w:eastAsia="zh-CN" w:bidi="hi-IN"/>
    </w:rPr>
  </w:style>
  <w:style w:type="paragraph" w:styleId="Annotationreference11">
    <w:name w:val="annotation reference11"/>
    <w:basedOn w:val="DefaultParagraphFont11"/>
    <w:link w:val="Annotationreference1"/>
    <w:qFormat/>
    <w:pPr/>
    <w:rPr>
      <w:sz w:val="16"/>
    </w:rPr>
  </w:style>
  <w:style w:type="paragraph" w:styleId="EndnoteSymbol1">
    <w:name w:val="Endnote Symbol1"/>
    <w:basedOn w:val="DefaultParagraphFont11"/>
    <w:link w:val="EndnoteSymbol"/>
    <w:qFormat/>
    <w:pPr/>
    <w:rPr>
      <w:vertAlign w:val="superscript"/>
    </w:rPr>
  </w:style>
  <w:style w:type="paragraph" w:styleId="TOC9">
    <w:name w:val="TOC 9"/>
    <w:basedOn w:val="Normal"/>
    <w:next w:val="Normal"/>
    <w:uiPriority w:val="39"/>
    <w:pPr>
      <w:spacing w:before="0" w:after="57"/>
      <w:ind w:hanging="0" w:left="2268"/>
    </w:pPr>
    <w:rPr/>
  </w:style>
  <w:style w:type="paragraph" w:styleId="Internetlink2">
    <w:name w:val="Internet link2"/>
    <w:basedOn w:val="DefaultParagraphFont11"/>
    <w:link w:val="Internetlink"/>
    <w:qFormat/>
    <w:pPr/>
    <w:rPr>
      <w:color w:themeColor="hyperlink" w:val="0563C1"/>
      <w:u w:val="single"/>
    </w:rPr>
  </w:style>
  <w:style w:type="paragraph" w:styleId="Heading812">
    <w:name w:val="Heading 812"/>
    <w:link w:val="Heading811"/>
    <w:qFormat/>
    <w:pPr>
      <w:widowControl/>
      <w:bidi w:val="0"/>
      <w:spacing w:lineRule="auto" w:line="240" w:before="0" w:after="0"/>
      <w:ind w:hanging="0" w:left="0" w:right="0"/>
      <w:jc w:val="left"/>
    </w:pPr>
    <w:rPr>
      <w:rFonts w:ascii="Arial" w:hAnsi="Arial" w:eastAsia="Tahoma" w:cs="Lohit Devanagari"/>
      <w:i/>
      <w:color w:val="000000"/>
      <w:spacing w:val="0"/>
      <w:kern w:val="0"/>
      <w:sz w:val="22"/>
      <w:szCs w:val="20"/>
      <w:lang w:val="ru-RU" w:eastAsia="zh-CN" w:bidi="hi-IN"/>
    </w:rPr>
  </w:style>
  <w:style w:type="paragraph" w:styleId="Endnote2">
    <w:name w:val="Endnote2"/>
    <w:link w:val="Endnote1"/>
    <w:qFormat/>
    <w:pPr>
      <w:widowControl/>
      <w:bidi w:val="0"/>
      <w:spacing w:lineRule="auto" w:line="240" w:before="0" w:after="0"/>
      <w:ind w:hanging="0" w:left="0" w:right="0"/>
      <w:jc w:val="left"/>
    </w:pPr>
    <w:rPr>
      <w:rFonts w:ascii="Microsoft Sans Serif" w:hAnsi="Microsoft Sans Serif" w:eastAsia="Tahoma" w:cs="Lohit Devanagari"/>
      <w:color w:val="000000"/>
      <w:spacing w:val="0"/>
      <w:kern w:val="0"/>
      <w:sz w:val="20"/>
      <w:szCs w:val="20"/>
      <w:lang w:val="ru-RU" w:eastAsia="zh-CN" w:bidi="hi-IN"/>
    </w:rPr>
  </w:style>
  <w:style w:type="paragraph" w:styleId="TOC8">
    <w:name w:val="TOC 8"/>
    <w:basedOn w:val="Normal"/>
    <w:next w:val="Normal"/>
    <w:uiPriority w:val="39"/>
    <w:pPr>
      <w:spacing w:before="0" w:after="57"/>
      <w:ind w:hanging="0" w:left="1984"/>
    </w:pPr>
    <w:rPr/>
  </w:style>
  <w:style w:type="paragraph" w:styleId="113">
    <w:name w:val="Другое11"/>
    <w:basedOn w:val="Normal"/>
    <w:link w:val="12"/>
    <w:qFormat/>
    <w:pPr>
      <w:ind w:firstLine="400" w:left="0"/>
    </w:pPr>
    <w:rPr>
      <w:rFonts w:ascii="Times New Roman" w:hAnsi="Times New Roman"/>
      <w:sz w:val="26"/>
    </w:rPr>
  </w:style>
  <w:style w:type="paragraph" w:styleId="114">
    <w:name w:val="Подпись к таблице11"/>
    <w:basedOn w:val="Normal"/>
    <w:link w:val="13"/>
    <w:qFormat/>
    <w:pPr/>
    <w:rPr>
      <w:rFonts w:ascii="Times New Roman" w:hAnsi="Times New Roman"/>
      <w:b/>
      <w:sz w:val="26"/>
    </w:rPr>
  </w:style>
  <w:style w:type="paragraph" w:styleId="Heading411">
    <w:name w:val="Heading 411"/>
    <w:link w:val="Heading41"/>
    <w:qFormat/>
    <w:pPr>
      <w:widowControl/>
      <w:bidi w:val="0"/>
      <w:spacing w:lineRule="auto" w:line="240" w:before="0" w:after="0"/>
      <w:ind w:hanging="0" w:left="0" w:right="0"/>
      <w:jc w:val="left"/>
    </w:pPr>
    <w:rPr>
      <w:rFonts w:ascii="Arial" w:hAnsi="Arial" w:eastAsia="Tahoma" w:cs="Lohit Devanagari"/>
      <w:b/>
      <w:color w:val="000000"/>
      <w:spacing w:val="0"/>
      <w:kern w:val="0"/>
      <w:sz w:val="26"/>
      <w:szCs w:val="20"/>
      <w:lang w:val="ru-RU" w:eastAsia="zh-CN" w:bidi="hi-IN"/>
    </w:rPr>
  </w:style>
  <w:style w:type="paragraph" w:styleId="TOC5">
    <w:name w:val="TOC 5"/>
    <w:basedOn w:val="Normal"/>
    <w:next w:val="Normal"/>
    <w:uiPriority w:val="39"/>
    <w:pPr>
      <w:spacing w:before="0" w:after="57"/>
      <w:ind w:hanging="0" w:left="1134"/>
    </w:pPr>
    <w:rPr/>
  </w:style>
  <w:style w:type="paragraph" w:styleId="115">
    <w:name w:val="Оглавление11"/>
    <w:basedOn w:val="Normal"/>
    <w:link w:val="14"/>
    <w:qFormat/>
    <w:pPr/>
    <w:rPr>
      <w:rFonts w:ascii="Times New Roman" w:hAnsi="Times New Roman"/>
      <w:sz w:val="26"/>
    </w:rPr>
  </w:style>
  <w:style w:type="paragraph" w:styleId="Heading1Char11">
    <w:name w:val="Heading 1 Char11"/>
    <w:basedOn w:val="DefaultParagraphFont11"/>
    <w:link w:val="Heading1Char1"/>
    <w:qFormat/>
    <w:pPr/>
    <w:rPr>
      <w:rFonts w:ascii="Arial" w:hAnsi="Arial"/>
      <w:sz w:val="40"/>
    </w:rPr>
  </w:style>
  <w:style w:type="paragraph" w:styleId="Subtitle">
    <w:name w:val="Subtitle"/>
    <w:basedOn w:val="Normal"/>
    <w:next w:val="Normal"/>
    <w:uiPriority w:val="11"/>
    <w:qFormat/>
    <w:pPr>
      <w:spacing w:before="200" w:after="200"/>
    </w:pPr>
    <w:rPr/>
  </w:style>
  <w:style w:type="paragraph" w:styleId="Header12">
    <w:name w:val="Header12"/>
    <w:link w:val="Header11"/>
    <w:qFormat/>
    <w:pPr>
      <w:widowControl/>
      <w:bidi w:val="0"/>
      <w:spacing w:lineRule="auto" w:line="240" w:before="0" w:after="0"/>
      <w:ind w:hanging="0" w:left="0" w:right="0"/>
      <w:jc w:val="left"/>
    </w:pPr>
    <w:rPr>
      <w:rFonts w:ascii="Microsoft Sans Serif" w:hAnsi="Microsoft Sans Serif" w:eastAsia="Tahoma" w:cs="Lohit Devanagari"/>
      <w:color w:val="000000"/>
      <w:spacing w:val="0"/>
      <w:kern w:val="0"/>
      <w:sz w:val="24"/>
      <w:szCs w:val="20"/>
      <w:lang w:val="ru-RU" w:eastAsia="zh-CN" w:bidi="hi-IN"/>
    </w:rPr>
  </w:style>
  <w:style w:type="paragraph" w:styleId="FigureIndex12">
    <w:name w:val="Figure Index 12"/>
    <w:link w:val="FigureIndex11"/>
    <w:qFormat/>
    <w:pPr>
      <w:widowControl/>
      <w:bidi w:val="0"/>
      <w:spacing w:lineRule="auto" w:line="240" w:before="0" w:after="0"/>
      <w:ind w:hanging="0" w:left="0" w:right="0"/>
      <w:jc w:val="left"/>
    </w:pPr>
    <w:rPr>
      <w:rFonts w:ascii="Microsoft Sans Serif" w:hAnsi="Microsoft Sans Serif" w:eastAsia="Tahoma" w:cs="Lohit Devanagari"/>
      <w:color w:val="000000"/>
      <w:spacing w:val="0"/>
      <w:kern w:val="0"/>
      <w:sz w:val="24"/>
      <w:szCs w:val="20"/>
      <w:lang w:val="ru-RU" w:eastAsia="zh-CN" w:bidi="hi-IN"/>
    </w:rPr>
  </w:style>
  <w:style w:type="paragraph" w:styleId="19">
    <w:name w:val="Содержимое врезки1"/>
    <w:basedOn w:val="Normal"/>
    <w:link w:val="Style9"/>
    <w:qFormat/>
    <w:pPr/>
    <w:rPr/>
  </w:style>
  <w:style w:type="paragraph" w:styleId="FootnoteText">
    <w:name w:val="Footnote Text"/>
    <w:link w:val="Style10"/>
    <w:pPr>
      <w:widowControl/>
      <w:bidi w:val="0"/>
      <w:spacing w:lineRule="auto" w:line="240" w:before="0" w:after="0"/>
      <w:ind w:hanging="0" w:left="0" w:right="0"/>
      <w:jc w:val="left"/>
    </w:pPr>
    <w:rPr>
      <w:rFonts w:ascii="Times New Roman" w:hAnsi="Times New Roman" w:eastAsia="Tahoma" w:cs="Lohit Devanagari"/>
      <w:color w:val="000000"/>
      <w:spacing w:val="0"/>
      <w:kern w:val="0"/>
      <w:sz w:val="20"/>
      <w:szCs w:val="20"/>
      <w:lang w:val="ru-RU" w:eastAsia="zh-CN" w:bidi="hi-IN"/>
    </w:rPr>
  </w:style>
  <w:style w:type="paragraph" w:styleId="Contents22">
    <w:name w:val="Contents 22"/>
    <w:link w:val="Contents21"/>
    <w:qFormat/>
    <w:pPr>
      <w:widowControl/>
      <w:bidi w:val="0"/>
      <w:spacing w:lineRule="auto" w:line="240" w:before="0" w:after="0"/>
      <w:ind w:hanging="0" w:left="0" w:right="0"/>
      <w:jc w:val="left"/>
    </w:pPr>
    <w:rPr>
      <w:rFonts w:ascii="Times New Roman" w:hAnsi="Times New Roman" w:eastAsia="Tahoma" w:cs="Lohit Devanagari"/>
      <w:color w:val="000000"/>
      <w:spacing w:val="0"/>
      <w:kern w:val="0"/>
      <w:sz w:val="22"/>
      <w:szCs w:val="20"/>
      <w:lang w:val="ru-RU" w:eastAsia="zh-CN" w:bidi="hi-IN"/>
    </w:rPr>
  </w:style>
  <w:style w:type="paragraph" w:styleId="Title">
    <w:name w:val="Title"/>
    <w:basedOn w:val="Normal"/>
    <w:next w:val="Normal"/>
    <w:uiPriority w:val="10"/>
    <w:qFormat/>
    <w:pPr>
      <w:spacing w:before="300" w:after="200"/>
      <w:contextualSpacing/>
    </w:pPr>
    <w:rPr>
      <w:sz w:val="48"/>
    </w:rPr>
  </w:style>
  <w:style w:type="paragraph" w:styleId="Heading312">
    <w:name w:val="Heading 312"/>
    <w:link w:val="Heading311"/>
    <w:qFormat/>
    <w:pPr>
      <w:widowControl/>
      <w:bidi w:val="0"/>
      <w:spacing w:lineRule="auto" w:line="240" w:before="0" w:after="0"/>
      <w:ind w:hanging="0" w:left="0" w:right="0"/>
      <w:jc w:val="left"/>
    </w:pPr>
    <w:rPr>
      <w:rFonts w:ascii="Arial" w:hAnsi="Arial" w:eastAsia="Tahoma" w:cs="Lohit Devanagari"/>
      <w:color w:val="000000"/>
      <w:spacing w:val="0"/>
      <w:kern w:val="0"/>
      <w:sz w:val="30"/>
      <w:szCs w:val="20"/>
      <w:lang w:val="ru-RU" w:eastAsia="zh-CN" w:bidi="hi-IN"/>
    </w:rPr>
  </w:style>
  <w:style w:type="paragraph" w:styleId="EndnoteSymbol2">
    <w:name w:val="Endnote Symbol2"/>
    <w:qFormat/>
    <w:pPr>
      <w:widowControl/>
      <w:bidi w:val="0"/>
      <w:spacing w:lineRule="auto" w:line="240" w:before="0" w:after="0"/>
      <w:ind w:hanging="0" w:left="0" w:right="0"/>
      <w:jc w:val="left"/>
    </w:pPr>
    <w:rPr>
      <w:rFonts w:ascii="Microsoft Sans Serif" w:hAnsi="Microsoft Sans Serif" w:eastAsia="Tahoma" w:cs="Lohit Devanagari"/>
      <w:color w:val="000000"/>
      <w:spacing w:val="0"/>
      <w:kern w:val="0"/>
      <w:sz w:val="24"/>
      <w:szCs w:val="20"/>
      <w:vertAlign w:val="superscript"/>
      <w:lang w:val="ru-RU" w:eastAsia="zh-CN" w:bidi="hi-IN"/>
    </w:rPr>
  </w:style>
  <w:style w:type="paragraph" w:styleId="110">
    <w:name w:val="Символ концевой сноски1"/>
    <w:link w:val="Style11"/>
    <w:qFormat/>
    <w:pPr>
      <w:widowControl/>
      <w:bidi w:val="0"/>
      <w:spacing w:lineRule="auto" w:line="240" w:before="0" w:after="0"/>
      <w:ind w:hanging="0" w:left="0" w:right="0"/>
      <w:jc w:val="left"/>
    </w:pPr>
    <w:rPr>
      <w:rFonts w:ascii="Microsoft Sans Serif" w:hAnsi="Microsoft Sans Serif" w:eastAsia="Tahoma" w:cs="Lohit Devanagari"/>
      <w:color w:val="000000"/>
      <w:spacing w:val="0"/>
      <w:kern w:val="0"/>
      <w:sz w:val="24"/>
      <w:szCs w:val="20"/>
      <w:vertAlign w:val="superscript"/>
      <w:lang w:val="ru-RU" w:eastAsia="zh-CN" w:bidi="hi-IN"/>
    </w:rPr>
  </w:style>
  <w:style w:type="paragraph" w:styleId="Quote11">
    <w:name w:val="Quote11"/>
    <w:basedOn w:val="Normal"/>
    <w:next w:val="Normal"/>
    <w:link w:val="Quote1"/>
    <w:qFormat/>
    <w:pPr>
      <w:ind w:hanging="0" w:left="720" w:right="720"/>
    </w:pPr>
    <w:rPr>
      <w:i/>
    </w:rPr>
  </w:style>
  <w:style w:type="table" w:styleId="Style_97">
    <w:name w:val="Grid Table 3 - Accent 1"/>
    <w:basedOn w:val="Style_3"/>
    <w:tblPr>
      <w:tblBorders>
        <w:bottom w:val="single" w:themeColor="accent1" w:themeTint="ea" w:sz="4"/>
        <w:insideH w:val="single" w:themeColor="accent1" w:themeTint="ea" w:sz="4"/>
        <w:insideV w:val="single" w:themeColor="accent1" w:themeTint="ea" w:sz="4"/>
      </w:tblBorders>
    </w:tblPr>
  </w:style>
  <w:style w:type="table" w:styleId="Style_98">
    <w:name w:val="Plain Table 2"/>
    <w:basedOn w:val="Style_3"/>
    <w:tblPr>
      <w:tblBorders>
        <w:top w:val="single" w:themeColor="text1" w:sz="4"/>
        <w:left w:val="nil" w:themeColor="text1" w:sz="4"/>
        <w:bottom w:val="single" w:themeColor="text1" w:sz="4"/>
        <w:right w:val="nil" w:themeColor="text1" w:sz="4"/>
      </w:tblBorders>
    </w:tblPr>
  </w:style>
  <w:style w:type="table" w:styleId="Style_99">
    <w:name w:val="Grid Table 5 Dark- Accent 4"/>
    <w:basedOn w:val="Style_3"/>
    <w:tblPr>
      <w:tblBorders>
        <w:top w:val="single" w:themeColor="light1" w:sz="4"/>
        <w:left w:val="single" w:themeColor="light1" w:sz="4"/>
        <w:bottom w:val="single" w:themeColor="light1" w:sz="4"/>
        <w:right w:val="single" w:themeColor="light1" w:sz="4"/>
        <w:insideH w:val="single" w:themeColor="light1" w:sz="4"/>
        <w:insideV w:val="single" w:themeColor="light1" w:sz="4"/>
      </w:tblBorders>
    </w:tblPr>
  </w:style>
  <w:style w:type="table" w:styleId="Style_100">
    <w:name w:val="List Table 7 Colorful - Accent 1"/>
    <w:basedOn w:val="Style_3"/>
    <w:tblPr>
      <w:tblBorders>
        <w:right w:val="single" w:themeColor="accent1" w:sz="4"/>
      </w:tblBorders>
    </w:tblPr>
  </w:style>
  <w:style w:type="table" w:styleId="Style_101">
    <w:name w:val="Grid Table 7 Colorful - Accent 5"/>
    <w:basedOn w:val="Style_3"/>
    <w:tblPr>
      <w:tblBorders>
        <w:bottom w:val="single" w:themeColor="accent5" w:themeTint="90" w:sz="4"/>
        <w:right w:val="single" w:themeColor="accent5" w:themeTint="90" w:sz="4"/>
        <w:insideH w:val="single" w:themeColor="accent5" w:themeTint="90" w:sz="4"/>
        <w:insideV w:val="single" w:themeColor="accent5" w:themeTint="90" w:sz="4"/>
      </w:tblBorders>
    </w:tblPr>
  </w:style>
  <w:style w:type="table" w:styleId="Style_102">
    <w:name w:val="List Table 4 - Accent 3"/>
    <w:basedOn w:val="Style_3"/>
    <w:tblPr>
      <w:tblBorders>
        <w:top w:val="single" w:themeColor="accent3" w:themeTint="90" w:sz="4"/>
        <w:left w:val="single" w:themeColor="accent3" w:themeTint="90" w:sz="4"/>
        <w:bottom w:val="single" w:themeColor="accent3" w:themeTint="90" w:sz="4"/>
        <w:right w:val="single" w:themeColor="accent3" w:themeTint="90" w:sz="4"/>
        <w:insideH w:val="single" w:themeColor="accent3" w:themeTint="90" w:sz="4"/>
      </w:tblBorders>
    </w:tblPr>
  </w:style>
  <w:style w:type="table" w:styleId="Style_103">
    <w:name w:val="Bordered &amp; Lined - Accent 3"/>
    <w:basedOn w:val="Style_3"/>
    <w:rPr>
      <w:sz w:val="20"/>
    </w:rPr>
    <w:tblPr>
      <w:tblBorders>
        <w:top w:val="single" w:themeColor="accent3" w:sz="4"/>
        <w:left w:val="single" w:themeColor="accent3" w:sz="4"/>
        <w:bottom w:val="single" w:themeColor="accent3" w:sz="4"/>
        <w:right w:val="single" w:themeColor="accent3" w:sz="4"/>
        <w:insideH w:val="single" w:themeColor="accent3" w:sz="4"/>
        <w:insideV w:val="single" w:themeColor="accent3" w:sz="4"/>
      </w:tblBorders>
    </w:tblPr>
  </w:style>
  <w:style w:type="table" w:styleId="Style_104">
    <w:name w:val="Grid Table 2 - Accent 5"/>
    <w:basedOn w:val="Style_3"/>
    <w:tblPr>
      <w:tblBorders>
        <w:bottom w:val="single" w:themeColor="accent5" w:sz="4"/>
        <w:insideH w:val="single" w:themeColor="accent5" w:sz="4"/>
        <w:insideV w:val="single" w:themeColor="accent5" w:sz="4"/>
      </w:tblBorders>
    </w:tblPr>
  </w:style>
  <w:style w:type="table" w:styleId="Style_105">
    <w:name w:val="List Table 3 - Accent 3"/>
    <w:basedOn w:val="Style_3"/>
    <w:tblPr>
      <w:tblBorders>
        <w:top w:val="single" w:themeColor="accent3" w:themeTint="98" w:sz="4"/>
        <w:left w:val="single" w:themeColor="accent3" w:themeTint="98" w:sz="4"/>
        <w:bottom w:val="single" w:themeColor="accent3" w:themeTint="98" w:sz="4"/>
        <w:right w:val="single" w:themeColor="accent3" w:themeTint="98" w:sz="4"/>
      </w:tblBorders>
    </w:tblPr>
  </w:style>
  <w:style w:type="table" w:styleId="Style_106">
    <w:name w:val="Grid Table 1 Light - Accent 1"/>
    <w:basedOn w:val="Style_3"/>
    <w:tblPr>
      <w:tblBorders>
        <w:top w:val="single" w:themeColor="accent1" w:themeTint="67" w:sz="4"/>
        <w:left w:val="single" w:themeColor="accent1" w:themeTint="67" w:sz="4"/>
        <w:bottom w:val="single" w:themeColor="accent1" w:themeTint="67" w:sz="4"/>
        <w:right w:val="single" w:themeColor="accent1" w:themeTint="67" w:sz="4"/>
        <w:insideH w:val="single" w:themeColor="accent1" w:themeTint="67" w:sz="4"/>
        <w:insideV w:val="single" w:themeColor="accent1" w:themeTint="67" w:sz="4"/>
      </w:tblBorders>
    </w:tblPr>
  </w:style>
  <w:style w:type="table" w:styleId="Style_107">
    <w:name w:val="List Table 1 Light - Accent 3"/>
    <w:basedOn w:val="Style_3"/>
  </w:style>
  <w:style w:type="table" w:styleId="Style_108">
    <w:name w:val="Grid Table 4 - Accent 5"/>
    <w:basedOn w:val="Style_3"/>
    <w:tblPr>
      <w:tblBorders>
        <w:top w:val="single" w:themeColor="accent5" w:themeTint="90" w:sz="4"/>
        <w:left w:val="single" w:themeColor="accent5" w:themeTint="90" w:sz="4"/>
        <w:bottom w:val="single" w:themeColor="accent5" w:themeTint="90" w:sz="4"/>
        <w:right w:val="single" w:themeColor="accent5" w:themeTint="90" w:sz="4"/>
        <w:insideH w:val="single" w:themeColor="accent5" w:themeTint="90" w:sz="4"/>
        <w:insideV w:val="single" w:themeColor="accent5" w:themeTint="90" w:sz="4"/>
      </w:tblBorders>
    </w:tblPr>
  </w:style>
  <w:style w:type="table" w:styleId="Style_109">
    <w:name w:val="List Table 7 Colorful - Accent 4"/>
    <w:basedOn w:val="Style_3"/>
    <w:tblPr>
      <w:tblBorders>
        <w:right w:val="single" w:themeColor="accent4" w:themeTint="9a" w:sz="4"/>
      </w:tblBorders>
    </w:tblPr>
  </w:style>
  <w:style w:type="table" w:styleId="Style_110">
    <w:name w:val="List Table 6 Colorful - Accent 5"/>
    <w:basedOn w:val="Style_3"/>
    <w:tblPr>
      <w:tblBorders>
        <w:top w:val="single" w:themeColor="accent5" w:themeTint="9a" w:sz="4"/>
        <w:bottom w:val="single" w:themeColor="accent5" w:themeTint="9a" w:sz="4"/>
      </w:tblBorders>
    </w:tblPr>
  </w:style>
  <w:style w:type="table" w:styleId="Style_111">
    <w:name w:val="List Table 1 Light - Accent 1"/>
    <w:basedOn w:val="Style_3"/>
  </w:style>
  <w:style w:type="table" w:styleId="Style_112">
    <w:name w:val="Lined - Accent 5"/>
    <w:basedOn w:val="Style_3"/>
    <w:rPr>
      <w:sz w:val="20"/>
    </w:rPr>
  </w:style>
  <w:style w:type="table" w:styleId="Style_113">
    <w:name w:val="List Table 4 - Accent 6"/>
    <w:basedOn w:val="Style_3"/>
    <w:tblPr>
      <w:tblBorders>
        <w:top w:val="single" w:themeColor="accent6" w:themeTint="90" w:sz="4"/>
        <w:left w:val="single" w:themeColor="accent6" w:themeTint="90" w:sz="4"/>
        <w:bottom w:val="single" w:themeColor="accent6" w:themeTint="90" w:sz="4"/>
        <w:right w:val="single" w:themeColor="accent6" w:themeTint="90" w:sz="4"/>
        <w:insideH w:val="single" w:themeColor="accent6" w:themeTint="90" w:sz="4"/>
      </w:tblBorders>
    </w:tblPr>
  </w:style>
  <w:style w:type="table" w:styleId="Style_114">
    <w:name w:val="Grid Table 6 Colorful - Accent 5"/>
    <w:basedOn w:val="Style_3"/>
    <w:tblPr>
      <w:tblBorders>
        <w:top w:val="single" w:themeColor="accent5" w:sz="4"/>
        <w:left w:val="single" w:themeColor="accent5" w:sz="4"/>
        <w:bottom w:val="single" w:themeColor="accent5" w:sz="4"/>
        <w:right w:val="single" w:themeColor="accent5" w:sz="4"/>
        <w:insideH w:val="single" w:themeColor="accent5" w:sz="4"/>
        <w:insideV w:val="single" w:themeColor="accent5" w:sz="4"/>
      </w:tblBorders>
    </w:tblPr>
  </w:style>
  <w:style w:type="table" w:styleId="Style_115">
    <w:name w:val="Bordered &amp; Lined - Accent"/>
    <w:basedOn w:val="Style_3"/>
    <w:rPr>
      <w:sz w:val="20"/>
    </w:rPr>
    <w:tblPr>
      <w:tblBorders>
        <w:top w:val="single" w:themeColor="text1" w:themeTint="a6" w:sz="4"/>
        <w:left w:val="single" w:themeColor="text1" w:themeTint="a6" w:sz="4"/>
        <w:bottom w:val="single" w:themeColor="text1" w:themeTint="a6" w:sz="4"/>
        <w:right w:val="single" w:themeColor="text1" w:themeTint="a6" w:sz="4"/>
        <w:insideH w:val="single" w:themeColor="text1" w:themeTint="a6" w:sz="4"/>
        <w:insideV w:val="single" w:themeColor="text1" w:themeTint="a6" w:sz="4"/>
      </w:tblBorders>
    </w:tblPr>
  </w:style>
  <w:style w:type="table" w:styleId="Style_116">
    <w:name w:val="Grid Table 5 Dark - Accent 2"/>
    <w:basedOn w:val="Style_3"/>
    <w:tblPr>
      <w:tblBorders>
        <w:top w:val="single" w:themeColor="light1" w:sz="4"/>
        <w:left w:val="single" w:themeColor="light1" w:sz="4"/>
        <w:bottom w:val="single" w:themeColor="light1" w:sz="4"/>
        <w:right w:val="single" w:themeColor="light1" w:sz="4"/>
        <w:insideH w:val="single" w:themeColor="light1" w:sz="4"/>
        <w:insideV w:val="single" w:themeColor="light1" w:sz="4"/>
      </w:tblBorders>
    </w:tblPr>
  </w:style>
  <w:style w:type="table" w:styleId="Style_117">
    <w:name w:val="List Table 3 - Accent 1"/>
    <w:basedOn w:val="Style_3"/>
    <w:tblPr>
      <w:tblBorders>
        <w:top w:val="single" w:themeColor="accent1" w:sz="4"/>
        <w:left w:val="single" w:themeColor="accent1" w:sz="4"/>
        <w:bottom w:val="single" w:themeColor="accent1" w:sz="4"/>
        <w:right w:val="single" w:themeColor="accent1" w:sz="4"/>
      </w:tblBorders>
    </w:tblPr>
  </w:style>
  <w:style w:type="table" w:styleId="Style_118">
    <w:name w:val="Grid Table 4 - Accent 1"/>
    <w:basedOn w:val="Style_3"/>
    <w:tblPr>
      <w:tblBorders>
        <w:top w:val="single" w:themeColor="accent1" w:themeTint="90" w:sz="4"/>
        <w:left w:val="single" w:themeColor="accent1" w:themeTint="90" w:sz="4"/>
        <w:bottom w:val="single" w:themeColor="accent1" w:themeTint="90" w:sz="4"/>
        <w:right w:val="single" w:themeColor="accent1" w:themeTint="90" w:sz="4"/>
        <w:insideH w:val="single" w:themeColor="accent1" w:themeTint="90" w:sz="4"/>
        <w:insideV w:val="single" w:themeColor="accent1" w:themeTint="90" w:sz="4"/>
      </w:tblBorders>
    </w:tblPr>
  </w:style>
  <w:style w:type="table" w:styleId="Style_119">
    <w:name w:val="Grid Table 4 - Accent 4"/>
    <w:basedOn w:val="Style_3"/>
    <w:tblPr>
      <w:tblBorders>
        <w:top w:val="single" w:themeColor="accent4" w:themeTint="90" w:sz="4"/>
        <w:left w:val="single" w:themeColor="accent4" w:themeTint="90" w:sz="4"/>
        <w:bottom w:val="single" w:themeColor="accent4" w:themeTint="90" w:sz="4"/>
        <w:right w:val="single" w:themeColor="accent4" w:themeTint="90" w:sz="4"/>
        <w:insideH w:val="single" w:themeColor="accent4" w:themeTint="90" w:sz="4"/>
        <w:insideV w:val="single" w:themeColor="accent4" w:themeTint="90" w:sz="4"/>
      </w:tblBorders>
    </w:tblPr>
  </w:style>
  <w:style w:type="table" w:styleId="Style_120">
    <w:name w:val="List Table 1 Light - Accent 5"/>
    <w:basedOn w:val="Style_3"/>
  </w:style>
  <w:style w:type="table" w:styleId="Style_121">
    <w:name w:val="Grid Table 6 Colorful - Accent 1"/>
    <w:basedOn w:val="Style_3"/>
    <w:tblPr>
      <w:tblBorders>
        <w:top w:val="single" w:themeColor="accent1" w:themeTint="80" w:sz="4"/>
        <w:left w:val="single" w:themeColor="accent1" w:themeTint="80" w:sz="4"/>
        <w:bottom w:val="single" w:themeColor="accent1" w:themeTint="80" w:sz="4"/>
        <w:right w:val="single" w:themeColor="accent1" w:themeTint="80" w:sz="4"/>
        <w:insideH w:val="single" w:themeColor="accent1" w:themeTint="80" w:sz="4"/>
        <w:insideV w:val="single" w:themeColor="accent1" w:themeTint="80" w:sz="4"/>
      </w:tblBorders>
    </w:tblPr>
  </w:style>
  <w:style w:type="table" w:styleId="Style_122">
    <w:name w:val="List Table 3"/>
    <w:basedOn w:val="Style_3"/>
    <w:tblPr>
      <w:tblBorders>
        <w:top w:val="single" w:themeColor="text1" w:sz="4"/>
        <w:left w:val="single" w:themeColor="text1" w:sz="4"/>
        <w:bottom w:val="single" w:themeColor="text1" w:sz="4"/>
        <w:right w:val="single" w:themeColor="text1" w:sz="4"/>
      </w:tblBorders>
    </w:tblPr>
  </w:style>
  <w:style w:type="table" w:styleId="Style_123">
    <w:name w:val="List Table 5 Dark - Accent 1"/>
    <w:basedOn w:val="Style_3"/>
    <w:tblPr>
      <w:tblBorders>
        <w:top w:val="single" w:themeColor="accent1" w:sz="32"/>
        <w:left w:val="single" w:themeColor="accent1" w:sz="32"/>
        <w:bottom w:val="single" w:themeColor="accent1" w:sz="32"/>
        <w:right w:val="single" w:themeColor="accent1" w:sz="32"/>
      </w:tblBorders>
    </w:tblPr>
  </w:style>
  <w:style w:type="table" w:styleId="Style_124">
    <w:name w:val="Bordered - Accent 5"/>
    <w:basedOn w:val="Style_3"/>
    <w:tblPr>
      <w:tblBorders>
        <w:top w:val="single" w:themeColor="accent5" w:themeTint="67" w:sz="4"/>
        <w:left w:val="single" w:themeColor="accent5" w:themeTint="67" w:sz="4"/>
        <w:bottom w:val="single" w:themeColor="accent5" w:themeTint="67" w:sz="4"/>
        <w:right w:val="single" w:themeColor="accent5" w:themeTint="67" w:sz="4"/>
        <w:insideH w:val="single" w:themeColor="accent5" w:themeTint="67" w:sz="4"/>
        <w:insideV w:val="single" w:themeColor="accent5" w:themeTint="67" w:sz="4"/>
      </w:tblBorders>
    </w:tblPr>
  </w:style>
  <w:style w:type="table" w:styleId="Style_125">
    <w:name w:val="List Table 5 Dark - Accent 3"/>
    <w:basedOn w:val="Style_3"/>
    <w:tblPr>
      <w:tblBorders>
        <w:top w:val="single" w:themeColor="accent3" w:themeTint="98" w:sz="32"/>
        <w:left w:val="single" w:themeColor="accent3" w:themeTint="98" w:sz="32"/>
        <w:bottom w:val="single" w:themeColor="accent3" w:themeTint="98" w:sz="32"/>
        <w:right w:val="single" w:themeColor="accent3" w:themeTint="98" w:sz="32"/>
      </w:tblBorders>
    </w:tblPr>
  </w:style>
  <w:style w:type="table" w:styleId="Style_126">
    <w:name w:val="List Table 2 - Accent 1"/>
    <w:basedOn w:val="Style_3"/>
    <w:tblPr>
      <w:tblBorders>
        <w:top w:val="single" w:themeColor="accent1" w:themeTint="90" w:sz="4"/>
        <w:bottom w:val="single" w:themeColor="accent1" w:themeTint="90" w:sz="4"/>
        <w:insideH w:val="single" w:themeColor="accent1" w:themeTint="90" w:sz="4"/>
      </w:tblBorders>
    </w:tblPr>
  </w:style>
  <w:style w:type="table" w:styleId="Style_127">
    <w:name w:val="Grid Table 6 Colorful - Accent 2"/>
    <w:basedOn w:val="Style_3"/>
    <w:tblPr>
      <w:tblBorders>
        <w:top w:val="single" w:themeColor="accent2" w:themeTint="97" w:sz="4"/>
        <w:left w:val="single" w:themeColor="accent2" w:themeTint="97" w:sz="4"/>
        <w:bottom w:val="single" w:themeColor="accent2" w:themeTint="97" w:sz="4"/>
        <w:right w:val="single" w:themeColor="accent2" w:themeTint="97" w:sz="4"/>
        <w:insideH w:val="single" w:themeColor="accent2" w:themeTint="97" w:sz="4"/>
        <w:insideV w:val="single" w:themeColor="accent2" w:themeTint="97" w:sz="4"/>
      </w:tblBorders>
    </w:tblPr>
  </w:style>
  <w:style w:type="table" w:styleId="Style_128">
    <w:name w:val="Bordered - Accent 2"/>
    <w:basedOn w:val="Style_3"/>
    <w:tblPr>
      <w:tblBorders>
        <w:top w:val="single" w:themeColor="accent2" w:themeTint="67" w:sz="4"/>
        <w:left w:val="single" w:themeColor="accent2" w:themeTint="67" w:sz="4"/>
        <w:bottom w:val="single" w:themeColor="accent2" w:themeTint="67" w:sz="4"/>
        <w:right w:val="single" w:themeColor="accent2" w:themeTint="67" w:sz="4"/>
        <w:insideH w:val="single" w:themeColor="accent2" w:themeTint="67" w:sz="4"/>
        <w:insideV w:val="single" w:themeColor="accent2" w:themeTint="67" w:sz="4"/>
      </w:tblBorders>
    </w:tblPr>
  </w:style>
  <w:style w:type="table" w:styleId="Style_129">
    <w:name w:val="List Table 6 Colorful - Accent 3"/>
    <w:basedOn w:val="Style_3"/>
    <w:tblPr>
      <w:tblBorders>
        <w:top w:val="single" w:themeColor="accent3" w:themeTint="98" w:sz="4"/>
        <w:bottom w:val="single" w:themeColor="accent3" w:themeTint="98" w:sz="4"/>
      </w:tblBorders>
    </w:tblPr>
  </w:style>
  <w:style w:type="table" w:styleId="Style_130">
    <w:name w:val="Grid Table 1 Light - Accent 5"/>
    <w:basedOn w:val="Style_3"/>
    <w:tblPr>
      <w:tblBorders>
        <w:top w:val="single" w:themeColor="accent5" w:themeTint="67" w:sz="4"/>
        <w:left w:val="single" w:themeColor="accent5" w:themeTint="67" w:sz="4"/>
        <w:bottom w:val="single" w:themeColor="accent5" w:themeTint="67" w:sz="4"/>
        <w:right w:val="single" w:themeColor="accent5" w:themeTint="67" w:sz="4"/>
        <w:insideH w:val="single" w:themeColor="accent5" w:themeTint="67" w:sz="4"/>
        <w:insideV w:val="single" w:themeColor="accent5" w:themeTint="67" w:sz="4"/>
      </w:tblBorders>
    </w:tblPr>
  </w:style>
  <w:style w:type="table" w:styleId="Style_131">
    <w:name w:val="List Table 1 Light"/>
    <w:basedOn w:val="Style_3"/>
  </w:style>
  <w:style w:type="table" w:styleId="Style_132">
    <w:name w:val="Grid Table 3 - Accent 3"/>
    <w:basedOn w:val="Style_3"/>
    <w:tblPr>
      <w:tblBorders>
        <w:bottom w:val="single" w:themeColor="accent3" w:themeTint="fe" w:sz="4"/>
        <w:insideH w:val="single" w:themeColor="accent3" w:themeTint="fe" w:sz="4"/>
        <w:insideV w:val="single" w:themeColor="accent3" w:themeTint="fe" w:sz="4"/>
      </w:tblBorders>
    </w:tblPr>
  </w:style>
  <w:style w:type="table" w:styleId="Style_133">
    <w:name w:val="Table Grid Light"/>
    <w:basedOn w:val="Style_3"/>
    <w:tblPr>
      <w:tblBorders>
        <w:top w:val="single" w:themeColor="text1" w:themeTint="50" w:sz="4"/>
        <w:left w:val="single" w:themeColor="text1" w:themeTint="50" w:sz="4"/>
        <w:bottom w:val="single" w:themeColor="text1" w:themeTint="50" w:sz="4"/>
        <w:right w:val="single" w:themeColor="text1" w:themeTint="50" w:sz="4"/>
        <w:insideH w:val="single" w:themeColor="text1" w:themeTint="50" w:sz="4"/>
        <w:insideV w:val="single" w:themeColor="text1" w:themeTint="50" w:sz="4"/>
      </w:tblBorders>
    </w:tblPr>
  </w:style>
  <w:style w:type="table" w:styleId="Style_134">
    <w:name w:val="Grid Table 1 Light - Accent 4"/>
    <w:basedOn w:val="Style_3"/>
    <w:tblPr>
      <w:tblBorders>
        <w:top w:val="single" w:themeColor="accent4" w:themeTint="67" w:sz="4"/>
        <w:left w:val="single" w:themeColor="accent4" w:themeTint="67" w:sz="4"/>
        <w:bottom w:val="single" w:themeColor="accent4" w:themeTint="67" w:sz="4"/>
        <w:right w:val="single" w:themeColor="accent4" w:themeTint="67" w:sz="4"/>
        <w:insideH w:val="single" w:themeColor="accent4" w:themeTint="67" w:sz="4"/>
        <w:insideV w:val="single" w:themeColor="accent4" w:themeTint="67" w:sz="4"/>
      </w:tblBorders>
    </w:tblPr>
  </w:style>
  <w:style w:type="table" w:styleId="Style_135">
    <w:name w:val="List Table 4 - Accent 2"/>
    <w:basedOn w:val="Style_3"/>
    <w:tblPr>
      <w:tblBorders>
        <w:top w:val="single" w:themeColor="accent2" w:themeTint="90" w:sz="4"/>
        <w:left w:val="single" w:themeColor="accent2" w:themeTint="90" w:sz="4"/>
        <w:bottom w:val="single" w:themeColor="accent2" w:themeTint="90" w:sz="4"/>
        <w:right w:val="single" w:themeColor="accent2" w:themeTint="90" w:sz="4"/>
        <w:insideH w:val="single" w:themeColor="accent2" w:themeTint="90" w:sz="4"/>
      </w:tblBorders>
    </w:tblPr>
  </w:style>
  <w:style w:type="table" w:styleId="Style_136">
    <w:name w:val="List Table 6 Colorful - Accent 2"/>
    <w:basedOn w:val="Style_3"/>
    <w:tblPr>
      <w:tblBorders>
        <w:top w:val="single" w:themeColor="accent2" w:themeTint="97" w:sz="4"/>
        <w:bottom w:val="single" w:themeColor="accent2" w:themeTint="97" w:sz="4"/>
      </w:tblBorders>
    </w:tblPr>
  </w:style>
  <w:style w:type="table" w:styleId="Style_137">
    <w:name w:val="List Table 2 - Accent 6"/>
    <w:basedOn w:val="Style_3"/>
    <w:tblPr>
      <w:tblBorders>
        <w:top w:val="single" w:themeColor="accent6" w:themeTint="90" w:sz="4"/>
        <w:bottom w:val="single" w:themeColor="accent6" w:themeTint="90" w:sz="4"/>
        <w:insideH w:val="single" w:themeColor="accent6" w:themeTint="90" w:sz="4"/>
      </w:tblBorders>
    </w:tblPr>
  </w:style>
  <w:style w:type="table" w:styleId="Style_138">
    <w:name w:val="List Table 5 Dark - Accent 2"/>
    <w:basedOn w:val="Style_3"/>
    <w:tblPr>
      <w:tblBorders>
        <w:top w:val="single" w:themeColor="accent2" w:themeTint="97" w:sz="32"/>
        <w:left w:val="single" w:themeColor="accent2" w:themeTint="97" w:sz="32"/>
        <w:bottom w:val="single" w:themeColor="accent2" w:themeTint="97" w:sz="32"/>
        <w:right w:val="single" w:themeColor="accent2" w:themeTint="97" w:sz="32"/>
      </w:tblBorders>
    </w:tblPr>
  </w:style>
  <w:style w:type="table" w:styleId="Style_139">
    <w:name w:val="List Table 3 - Accent 4"/>
    <w:basedOn w:val="Style_3"/>
    <w:tblPr>
      <w:tblBorders>
        <w:top w:val="single" w:themeColor="accent4" w:themeTint="9a" w:sz="4"/>
        <w:left w:val="single" w:themeColor="accent4" w:themeTint="9a" w:sz="4"/>
        <w:bottom w:val="single" w:themeColor="accent4" w:themeTint="9a" w:sz="4"/>
        <w:right w:val="single" w:themeColor="accent4" w:themeTint="9a" w:sz="4"/>
      </w:tblBorders>
    </w:tblPr>
  </w:style>
  <w:style w:type="table" w:styleId="Style_140">
    <w:name w:val="Grid Table 1 Light - Accent 2"/>
    <w:basedOn w:val="Style_3"/>
    <w:tblPr>
      <w:tblBorders>
        <w:top w:val="single" w:themeColor="accent2" w:themeTint="67" w:sz="4"/>
        <w:left w:val="single" w:themeColor="accent2" w:themeTint="67" w:sz="4"/>
        <w:bottom w:val="single" w:themeColor="accent2" w:themeTint="67" w:sz="4"/>
        <w:right w:val="single" w:themeColor="accent2" w:themeTint="67" w:sz="4"/>
        <w:insideH w:val="single" w:themeColor="accent2" w:themeTint="67" w:sz="4"/>
        <w:insideV w:val="single" w:themeColor="accent2" w:themeTint="67" w:sz="4"/>
      </w:tblBorders>
    </w:tblPr>
  </w:style>
  <w:style w:type="table" w:styleId="Style_141">
    <w:name w:val="Plain Table 1"/>
    <w:basedOn w:val="Style_3"/>
    <w:tblPr>
      <w:tblBorders>
        <w:top w:val="single" w:themeColor="text1" w:themeTint="50" w:sz="4"/>
        <w:left w:val="single" w:themeColor="text1" w:themeTint="50" w:sz="4"/>
        <w:bottom w:val="single" w:themeColor="text1" w:themeTint="50" w:sz="4"/>
        <w:right w:val="single" w:themeColor="text1" w:themeTint="50" w:sz="4"/>
        <w:insideH w:val="single" w:themeColor="text1" w:themeTint="50" w:sz="4"/>
        <w:insideV w:val="single" w:themeColor="text1" w:themeTint="50" w:sz="4"/>
      </w:tblBorders>
    </w:tblPr>
  </w:style>
  <w:style w:type="table" w:styleId="Style_142">
    <w:name w:val="Grid Table 6 Colorful - Accent 6"/>
    <w:basedOn w:val="Style_3"/>
    <w:tblPr>
      <w:tblBorders>
        <w:top w:val="single" w:themeColor="accent6" w:sz="4"/>
        <w:left w:val="single" w:themeColor="accent6" w:sz="4"/>
        <w:bottom w:val="single" w:themeColor="accent6" w:sz="4"/>
        <w:right w:val="single" w:themeColor="accent6" w:sz="4"/>
        <w:insideH w:val="single" w:themeColor="accent6" w:sz="4"/>
        <w:insideV w:val="single" w:themeColor="accent6" w:sz="4"/>
      </w:tblBorders>
    </w:tblPr>
  </w:style>
  <w:style w:type="table" w:styleId="Style_143">
    <w:name w:val="Grid Table 3 - Accent 4"/>
    <w:basedOn w:val="Style_3"/>
    <w:tblPr>
      <w:tblBorders>
        <w:bottom w:val="single" w:themeColor="accent4" w:themeTint="9a" w:sz="4"/>
        <w:insideH w:val="single" w:themeColor="accent4" w:themeTint="9a" w:sz="4"/>
        <w:insideV w:val="single" w:themeColor="accent4" w:themeTint="9a" w:sz="4"/>
      </w:tblBorders>
    </w:tblPr>
  </w:style>
  <w:style w:type="table" w:styleId="Style_144">
    <w:name w:val="Grid Table 7 Colorful - Accent 6"/>
    <w:basedOn w:val="Style_3"/>
    <w:tblPr>
      <w:tblBorders>
        <w:bottom w:val="single" w:themeColor="accent6" w:themeTint="90" w:sz="4"/>
        <w:right w:val="single" w:themeColor="accent6" w:themeTint="90" w:sz="4"/>
        <w:insideH w:val="single" w:themeColor="accent6" w:themeTint="90" w:sz="4"/>
        <w:insideV w:val="single" w:themeColor="accent6" w:themeTint="90" w:sz="4"/>
      </w:tblBorders>
    </w:tblPr>
  </w:style>
  <w:style w:type="table" w:styleId="Style_145">
    <w:name w:val="Grid Table 7 Colorful - Accent 4"/>
    <w:basedOn w:val="Style_3"/>
    <w:tblPr>
      <w:tblBorders>
        <w:bottom w:val="single" w:themeColor="accent4" w:themeTint="9a" w:sz="4"/>
        <w:right w:val="single" w:themeColor="accent4" w:themeTint="9a" w:sz="4"/>
        <w:insideH w:val="single" w:themeColor="accent4" w:themeTint="9a" w:sz="4"/>
        <w:insideV w:val="single" w:themeColor="accent4" w:themeTint="9a" w:sz="4"/>
      </w:tblBorders>
    </w:tblPr>
  </w:style>
  <w:style w:type="table" w:styleId="Style_146">
    <w:name w:val="List Table 4 - Accent 5"/>
    <w:basedOn w:val="Style_3"/>
    <w:tblPr>
      <w:tblBorders>
        <w:top w:val="single" w:themeColor="accent5" w:themeTint="90" w:sz="4"/>
        <w:left w:val="single" w:themeColor="accent5" w:themeTint="90" w:sz="4"/>
        <w:bottom w:val="single" w:themeColor="accent5" w:themeTint="90" w:sz="4"/>
        <w:right w:val="single" w:themeColor="accent5" w:themeTint="90" w:sz="4"/>
        <w:insideH w:val="single" w:themeColor="accent5" w:themeTint="90" w:sz="4"/>
      </w:tblBorders>
    </w:tblPr>
  </w:style>
  <w:style w:type="table" w:styleId="Style_147">
    <w:name w:val="Grid Table 1 Light - Accent 3"/>
    <w:basedOn w:val="Style_3"/>
    <w:tblPr>
      <w:tblBorders>
        <w:top w:val="single" w:themeColor="accent3" w:themeTint="67" w:sz="4"/>
        <w:left w:val="single" w:themeColor="accent3" w:themeTint="67" w:sz="4"/>
        <w:bottom w:val="single" w:themeColor="accent3" w:themeTint="67" w:sz="4"/>
        <w:right w:val="single" w:themeColor="accent3" w:themeTint="67" w:sz="4"/>
        <w:insideH w:val="single" w:themeColor="accent3" w:themeTint="67" w:sz="4"/>
        <w:insideV w:val="single" w:themeColor="accent3" w:themeTint="67" w:sz="4"/>
      </w:tblBorders>
    </w:tblPr>
  </w:style>
  <w:style w:type="table" w:styleId="Style_148">
    <w:name w:val="Bordered - Accent 3"/>
    <w:basedOn w:val="Style_3"/>
    <w:tblPr>
      <w:tblBorders>
        <w:top w:val="single" w:themeColor="accent3" w:themeTint="67" w:sz="4"/>
        <w:left w:val="single" w:themeColor="accent3" w:themeTint="67" w:sz="4"/>
        <w:bottom w:val="single" w:themeColor="accent3" w:themeTint="67" w:sz="4"/>
        <w:right w:val="single" w:themeColor="accent3" w:themeTint="67" w:sz="4"/>
        <w:insideH w:val="single" w:themeColor="accent3" w:themeTint="67" w:sz="4"/>
        <w:insideV w:val="single" w:themeColor="accent3" w:themeTint="67" w:sz="4"/>
      </w:tblBorders>
    </w:tblPr>
  </w:style>
  <w:style w:type="table" w:styleId="Style_149">
    <w:name w:val="Bordered - Accent 1"/>
    <w:basedOn w:val="Style_3"/>
    <w:tblPr>
      <w:tblBorders>
        <w:top w:val="single" w:themeColor="accent1" w:themeTint="67" w:sz="4"/>
        <w:left w:val="single" w:themeColor="accent1" w:themeTint="67" w:sz="4"/>
        <w:bottom w:val="single" w:themeColor="accent1" w:themeTint="67" w:sz="4"/>
        <w:right w:val="single" w:themeColor="accent1" w:themeTint="67" w:sz="4"/>
        <w:insideH w:val="single" w:themeColor="accent1" w:themeTint="67" w:sz="4"/>
        <w:insideV w:val="single" w:themeColor="accent1" w:themeTint="67" w:sz="4"/>
      </w:tblBorders>
    </w:tblPr>
  </w:style>
  <w:style w:type="table" w:styleId="Style_150">
    <w:name w:val="Grid Table 2 - Accent 2"/>
    <w:basedOn w:val="Style_3"/>
    <w:tblPr>
      <w:tblBorders>
        <w:bottom w:val="single" w:themeColor="accent2" w:themeTint="97" w:sz="4"/>
        <w:insideH w:val="single" w:themeColor="accent2" w:themeTint="97" w:sz="4"/>
        <w:insideV w:val="single" w:themeColor="accent2" w:themeTint="97" w:sz="4"/>
      </w:tblBorders>
    </w:tblPr>
  </w:style>
  <w:style w:type="table" w:styleId="Style_151">
    <w:name w:val="List Table 4 - Accent 4"/>
    <w:basedOn w:val="Style_3"/>
    <w:tblPr>
      <w:tblBorders>
        <w:top w:val="single" w:themeColor="accent4" w:themeTint="90" w:sz="4"/>
        <w:left w:val="single" w:themeColor="accent4" w:themeTint="90" w:sz="4"/>
        <w:bottom w:val="single" w:themeColor="accent4" w:themeTint="90" w:sz="4"/>
        <w:right w:val="single" w:themeColor="accent4" w:themeTint="90" w:sz="4"/>
        <w:insideH w:val="single" w:themeColor="accent4" w:themeTint="90" w:sz="4"/>
      </w:tblBorders>
    </w:tblPr>
  </w:style>
  <w:style w:type="table" w:styleId="Style_152">
    <w:name w:val="List Table 5 Dark - Accent 5"/>
    <w:basedOn w:val="Style_3"/>
    <w:tblPr>
      <w:tblBorders>
        <w:top w:val="single" w:themeColor="accent5" w:themeTint="9a" w:sz="32"/>
        <w:left w:val="single" w:themeColor="accent5" w:themeTint="9a" w:sz="32"/>
        <w:bottom w:val="single" w:themeColor="accent5" w:themeTint="9a" w:sz="32"/>
        <w:right w:val="single" w:themeColor="accent5" w:themeTint="9a" w:sz="32"/>
      </w:tblBorders>
    </w:tblPr>
  </w:style>
  <w:style w:type="table" w:styleId="Style_153">
    <w:name w:val="Grid Table 3 - Accent 6"/>
    <w:basedOn w:val="Style_3"/>
    <w:tblPr>
      <w:tblBorders>
        <w:bottom w:val="single" w:themeColor="accent6" w:sz="4"/>
        <w:insideH w:val="single" w:themeColor="accent6" w:sz="4"/>
        <w:insideV w:val="single" w:themeColor="accent6" w:sz="4"/>
      </w:tblBorders>
    </w:tblPr>
  </w:style>
  <w:style w:type="table" w:styleId="Style_154">
    <w:name w:val="List Table 3 - Accent 6"/>
    <w:basedOn w:val="Style_3"/>
    <w:tblPr>
      <w:tblBorders>
        <w:top w:val="single" w:themeColor="accent6" w:themeTint="98" w:sz="4"/>
        <w:left w:val="single" w:themeColor="accent6" w:themeTint="98" w:sz="4"/>
        <w:bottom w:val="single" w:themeColor="accent6" w:themeTint="98" w:sz="4"/>
        <w:right w:val="single" w:themeColor="accent6" w:themeTint="98" w:sz="4"/>
      </w:tblBorders>
    </w:tblPr>
  </w:style>
  <w:style w:type="table" w:styleId="Style_155">
    <w:name w:val="Lined - Accent 1"/>
    <w:basedOn w:val="Style_3"/>
    <w:rPr>
      <w:sz w:val="20"/>
    </w:rPr>
  </w:style>
  <w:style w:type="table" w:styleId="Style_156">
    <w:name w:val="Grid Table 5 Dark- Accent 1"/>
    <w:basedOn w:val="Style_3"/>
    <w:tblPr>
      <w:tblBorders>
        <w:top w:val="single" w:themeColor="light1" w:sz="4"/>
        <w:left w:val="single" w:themeColor="light1" w:sz="4"/>
        <w:bottom w:val="single" w:themeColor="light1" w:sz="4"/>
        <w:right w:val="single" w:themeColor="light1" w:sz="4"/>
        <w:insideH w:val="single" w:themeColor="light1" w:sz="4"/>
        <w:insideV w:val="single" w:themeColor="light1" w:sz="4"/>
      </w:tblBorders>
    </w:tblPr>
  </w:style>
  <w:style w:type="table" w:styleId="Style_157">
    <w:name w:val="List Table 6 Colorful - Accent 4"/>
    <w:basedOn w:val="Style_3"/>
    <w:tblPr>
      <w:tblBorders>
        <w:top w:val="single" w:themeColor="accent4" w:themeTint="9a" w:sz="4"/>
        <w:bottom w:val="single" w:themeColor="accent4" w:themeTint="9a" w:sz="4"/>
      </w:tblBorders>
    </w:tblPr>
  </w:style>
  <w:style w:type="table" w:styleId="Style_158">
    <w:name w:val="Grid Table 5 Dark - Accent 3"/>
    <w:basedOn w:val="Style_3"/>
    <w:tblPr>
      <w:tblBorders>
        <w:top w:val="single" w:themeColor="light1" w:sz="4"/>
        <w:left w:val="single" w:themeColor="light1" w:sz="4"/>
        <w:bottom w:val="single" w:themeColor="light1" w:sz="4"/>
        <w:right w:val="single" w:themeColor="light1" w:sz="4"/>
        <w:insideH w:val="single" w:themeColor="light1" w:sz="4"/>
        <w:insideV w:val="single" w:themeColor="light1" w:sz="4"/>
      </w:tblBorders>
    </w:tblPr>
  </w:style>
  <w:style w:type="table" w:styleId="Style_159">
    <w:name w:val="List Table 4"/>
    <w:basedOn w:val="Style_3"/>
    <w:tblPr>
      <w:tblBorders>
        <w:top w:val="single" w:themeColor="text1" w:sz="4"/>
        <w:left w:val="single" w:themeColor="text1" w:sz="4"/>
        <w:bottom w:val="single" w:themeColor="text1" w:sz="4"/>
        <w:right w:val="single" w:themeColor="text1" w:sz="4"/>
        <w:insideH w:val="single" w:themeColor="text1" w:sz="4"/>
      </w:tblBorders>
    </w:tblPr>
  </w:style>
  <w:style w:type="table" w:styleId="Style_160">
    <w:name w:val="Bordered &amp; Lined - Accent 2"/>
    <w:basedOn w:val="Style_3"/>
    <w:rPr>
      <w:sz w:val="20"/>
    </w:rPr>
    <w:tblPr>
      <w:tblBorders>
        <w:top w:val="single" w:themeColor="accent2" w:sz="4"/>
        <w:left w:val="single" w:themeColor="accent2" w:sz="4"/>
        <w:bottom w:val="single" w:themeColor="accent2" w:sz="4"/>
        <w:right w:val="single" w:themeColor="accent2" w:sz="4"/>
        <w:insideH w:val="single" w:themeColor="accent2" w:sz="4"/>
        <w:insideV w:val="single" w:themeColor="accent2" w:sz="4"/>
      </w:tblBorders>
    </w:tblPr>
  </w:style>
  <w:style w:type="table" w:styleId="Style_161">
    <w:name w:val="Grid Table 4 - Accent 3"/>
    <w:basedOn w:val="Style_3"/>
    <w:tblPr>
      <w:tblBorders>
        <w:top w:val="single" w:themeColor="accent3" w:themeTint="90" w:sz="4"/>
        <w:left w:val="single" w:themeColor="accent3" w:themeTint="90" w:sz="4"/>
        <w:bottom w:val="single" w:themeColor="accent3" w:themeTint="90" w:sz="4"/>
        <w:right w:val="single" w:themeColor="accent3" w:themeTint="90" w:sz="4"/>
        <w:insideH w:val="single" w:themeColor="accent3" w:themeTint="90" w:sz="4"/>
        <w:insideV w:val="single" w:themeColor="accent3" w:themeTint="90" w:sz="4"/>
      </w:tblBorders>
    </w:tblPr>
  </w:style>
  <w:style w:type="table" w:styleId="Style_162">
    <w:name w:val="Grid Table 5 Dark - Accent 6"/>
    <w:basedOn w:val="Style_3"/>
    <w:tblPr>
      <w:tblBorders>
        <w:top w:val="single" w:themeColor="light1" w:sz="4"/>
        <w:left w:val="single" w:themeColor="light1" w:sz="4"/>
        <w:bottom w:val="single" w:themeColor="light1" w:sz="4"/>
        <w:right w:val="single" w:themeColor="light1" w:sz="4"/>
        <w:insideH w:val="single" w:themeColor="light1" w:sz="4"/>
        <w:insideV w:val="single" w:themeColor="light1" w:sz="4"/>
      </w:tblBorders>
    </w:tblPr>
  </w:style>
  <w:style w:type="table" w:styleId="Style_163">
    <w:name w:val="List Table 2 - Accent 2"/>
    <w:basedOn w:val="Style_3"/>
    <w:tblPr>
      <w:tblBorders>
        <w:top w:val="single" w:themeColor="accent2" w:themeTint="90" w:sz="4"/>
        <w:bottom w:val="single" w:themeColor="accent2" w:themeTint="90" w:sz="4"/>
        <w:insideH w:val="single" w:themeColor="accent2" w:themeTint="90" w:sz="4"/>
      </w:tblBorders>
    </w:tblPr>
  </w:style>
  <w:style w:type="table" w:styleId="Style_164">
    <w:name w:val="Grid Table 2 - Accent 3"/>
    <w:basedOn w:val="Style_3"/>
    <w:tblPr>
      <w:tblBorders>
        <w:bottom w:val="single" w:themeColor="accent3" w:themeTint="fe" w:sz="4"/>
        <w:insideH w:val="single" w:themeColor="accent3" w:themeTint="fe" w:sz="4"/>
        <w:insideV w:val="single" w:themeColor="accent3" w:themeTint="fe" w:sz="4"/>
      </w:tblBorders>
    </w:tblPr>
  </w:style>
  <w:style w:type="table" w:styleId="Style_165">
    <w:name w:val="Bordered - Accent 6"/>
    <w:basedOn w:val="Style_3"/>
    <w:tblPr>
      <w:tblBorders>
        <w:top w:val="single" w:themeColor="accent6" w:themeTint="67" w:sz="4"/>
        <w:left w:val="single" w:themeColor="accent6" w:themeTint="67" w:sz="4"/>
        <w:bottom w:val="single" w:themeColor="accent6" w:themeTint="67" w:sz="4"/>
        <w:right w:val="single" w:themeColor="accent6" w:themeTint="67" w:sz="4"/>
        <w:insideH w:val="single" w:themeColor="accent6" w:themeTint="67" w:sz="4"/>
        <w:insideV w:val="single" w:themeColor="accent6" w:themeTint="67" w:sz="4"/>
      </w:tblBorders>
    </w:tblPr>
  </w:style>
  <w:style w:type="table" w:styleId="Style_166">
    <w:name w:val="Grid Table 5 Dark - Accent 5"/>
    <w:basedOn w:val="Style_3"/>
    <w:tblPr>
      <w:tblBorders>
        <w:top w:val="single" w:themeColor="light1" w:sz="4"/>
        <w:left w:val="single" w:themeColor="light1" w:sz="4"/>
        <w:bottom w:val="single" w:themeColor="light1" w:sz="4"/>
        <w:right w:val="single" w:themeColor="light1" w:sz="4"/>
        <w:insideH w:val="single" w:themeColor="light1" w:sz="4"/>
        <w:insideV w:val="single" w:themeColor="light1" w:sz="4"/>
      </w:tblBorders>
    </w:tblPr>
  </w:style>
  <w:style w:type="table" w:styleId="Style_167">
    <w:name w:val="List Table 4 - Accent 1"/>
    <w:basedOn w:val="Style_3"/>
    <w:tblPr>
      <w:tblBorders>
        <w:top w:val="single" w:themeColor="accent1" w:themeTint="90" w:sz="4"/>
        <w:left w:val="single" w:themeColor="accent1" w:themeTint="90" w:sz="4"/>
        <w:bottom w:val="single" w:themeColor="accent1" w:themeTint="90" w:sz="4"/>
        <w:right w:val="single" w:themeColor="accent1" w:themeTint="90" w:sz="4"/>
        <w:insideH w:val="single" w:themeColor="accent1" w:themeTint="90" w:sz="4"/>
      </w:tblBorders>
    </w:tblPr>
  </w:style>
  <w:style w:type="table" w:styleId="Style_168">
    <w:name w:val="Bordered &amp; Lined - Accent 5"/>
    <w:basedOn w:val="Style_3"/>
    <w:rPr>
      <w:sz w:val="20"/>
    </w:rPr>
    <w:tblPr>
      <w:tblBorders>
        <w:top w:val="single" w:themeColor="accent5" w:sz="4"/>
        <w:left w:val="single" w:themeColor="accent5" w:sz="4"/>
        <w:bottom w:val="single" w:themeColor="accent5" w:sz="4"/>
        <w:right w:val="single" w:themeColor="accent5" w:sz="4"/>
        <w:insideH w:val="single" w:themeColor="accent5" w:sz="4"/>
        <w:insideV w:val="single" w:themeColor="accent5" w:sz="4"/>
      </w:tblBorders>
    </w:tblPr>
  </w:style>
  <w:style w:type="table" w:styleId="Style_169">
    <w:name w:val="Grid Table 4"/>
    <w:basedOn w:val="Style_3"/>
    <w:tblPr>
      <w:tblBorders>
        <w:top w:val="single" w:themeColor="text1" w:themeTint="90" w:sz="4"/>
        <w:left w:val="single" w:themeColor="text1" w:themeTint="90" w:sz="4"/>
        <w:bottom w:val="single" w:themeColor="text1" w:themeTint="90" w:sz="4"/>
        <w:right w:val="single" w:themeColor="text1" w:themeTint="90" w:sz="4"/>
        <w:insideH w:val="single" w:themeColor="text1" w:themeTint="90" w:sz="4"/>
        <w:insideV w:val="single" w:themeColor="text1" w:themeTint="90" w:sz="4"/>
      </w:tblBorders>
    </w:tblPr>
  </w:style>
  <w:style w:type="table" w:styleId="Style_170">
    <w:name w:val="Grid Table 6 Colorful"/>
    <w:basedOn w:val="Style_3"/>
    <w:tblPr>
      <w:tblBorders>
        <w:top w:val="single" w:themeColor="text1" w:themeTint="80" w:sz="4"/>
        <w:left w:val="single" w:themeColor="text1" w:themeTint="80" w:sz="4"/>
        <w:bottom w:val="single" w:themeColor="text1" w:themeTint="80" w:sz="4"/>
        <w:right w:val="single" w:themeColor="text1" w:themeTint="80" w:sz="4"/>
        <w:insideH w:val="single" w:themeColor="text1" w:themeTint="80" w:sz="4"/>
        <w:insideV w:val="single" w:themeColor="text1" w:themeTint="80" w:sz="4"/>
      </w:tblBorders>
    </w:tblPr>
  </w:style>
  <w:style w:type="table" w:styleId="Style_171">
    <w:name w:val="List Table 1 Light - Accent 4"/>
    <w:basedOn w:val="Style_3"/>
  </w:style>
  <w:style w:type="table" w:styleId="Style_172">
    <w:name w:val="Lined - Accent 6"/>
    <w:basedOn w:val="Style_3"/>
    <w:rPr>
      <w:sz w:val="20"/>
    </w:rPr>
  </w:style>
  <w:style w:type="table" w:styleId="Style_173">
    <w:name w:val="Bordered &amp; Lined - Accent 4"/>
    <w:basedOn w:val="Style_3"/>
    <w:rPr>
      <w:sz w:val="20"/>
    </w:rPr>
    <w:tblPr>
      <w:tblBorders>
        <w:top w:val="single" w:themeColor="accent4" w:sz="4"/>
        <w:left w:val="single" w:themeColor="accent4" w:sz="4"/>
        <w:bottom w:val="single" w:themeColor="accent4" w:sz="4"/>
        <w:right w:val="single" w:themeColor="accent4" w:sz="4"/>
        <w:insideH w:val="single" w:themeColor="accent4" w:sz="4"/>
        <w:insideV w:val="single" w:themeColor="accent4" w:sz="4"/>
      </w:tblBorders>
    </w:tblPr>
  </w:style>
  <w:style w:type="table" w:styleId="Style_174">
    <w:name w:val="Grid Table 1 Light - Accent 6"/>
    <w:basedOn w:val="Style_3"/>
    <w:tblPr>
      <w:tblBorders>
        <w:top w:val="single" w:themeColor="accent6" w:themeTint="67" w:sz="4"/>
        <w:left w:val="single" w:themeColor="accent6" w:themeTint="67" w:sz="4"/>
        <w:bottom w:val="single" w:themeColor="accent6" w:themeTint="67" w:sz="4"/>
        <w:right w:val="single" w:themeColor="accent6" w:themeTint="67" w:sz="4"/>
        <w:insideH w:val="single" w:themeColor="accent6" w:themeTint="67" w:sz="4"/>
        <w:insideV w:val="single" w:themeColor="accent6" w:themeTint="67" w:sz="4"/>
      </w:tblBorders>
    </w:tblPr>
  </w:style>
  <w:style w:type="table" w:styleId="Style_175">
    <w:name w:val="Grid Table 1 Light"/>
    <w:basedOn w:val="Style_3"/>
    <w:tblPr>
      <w:tblBorders>
        <w:top w:val="single" w:themeColor="text1" w:themeTint="67" w:sz="4"/>
        <w:left w:val="single" w:themeColor="text1" w:themeTint="67" w:sz="4"/>
        <w:bottom w:val="single" w:themeColor="text1" w:themeTint="67" w:sz="4"/>
        <w:right w:val="single" w:themeColor="text1" w:themeTint="67" w:sz="4"/>
        <w:insideH w:val="single" w:themeColor="text1" w:themeTint="67" w:sz="4"/>
        <w:insideV w:val="single" w:themeColor="text1" w:themeTint="67" w:sz="4"/>
      </w:tblBorders>
    </w:tblPr>
  </w:style>
  <w:style w:type="table" w:styleId="Style_176">
    <w:name w:val="List Table 5 Dark - Accent 4"/>
    <w:basedOn w:val="Style_3"/>
    <w:tblPr>
      <w:tblBorders>
        <w:top w:val="single" w:themeColor="accent4" w:themeTint="9a" w:sz="32"/>
        <w:left w:val="single" w:themeColor="accent4" w:themeTint="9a" w:sz="32"/>
        <w:bottom w:val="single" w:themeColor="accent4" w:themeTint="9a" w:sz="32"/>
        <w:right w:val="single" w:themeColor="accent4" w:themeTint="9a" w:sz="32"/>
      </w:tblBorders>
    </w:tblPr>
  </w:style>
  <w:style w:type="table" w:styleId="Style_177">
    <w:name w:val="Bordered &amp; Lined - Accent 6"/>
    <w:basedOn w:val="Style_3"/>
    <w:rPr>
      <w:sz w:val="20"/>
    </w:rPr>
    <w:tblPr>
      <w:tblBorders>
        <w:top w:val="single" w:themeColor="accent6" w:sz="4"/>
        <w:left w:val="single" w:themeColor="accent6" w:sz="4"/>
        <w:bottom w:val="single" w:themeColor="accent6" w:sz="4"/>
        <w:right w:val="single" w:themeColor="accent6" w:sz="4"/>
        <w:insideH w:val="single" w:themeColor="accent6" w:sz="4"/>
        <w:insideV w:val="single" w:themeColor="accent6" w:sz="4"/>
      </w:tblBorders>
    </w:tblPr>
  </w:style>
  <w:style w:type="table" w:styleId="Style_178">
    <w:name w:val="Grid Table 4 - Accent 2"/>
    <w:basedOn w:val="Style_3"/>
    <w:tblPr>
      <w:tblBorders>
        <w:top w:val="single" w:themeColor="accent2" w:themeTint="90" w:sz="4"/>
        <w:left w:val="single" w:themeColor="accent2" w:themeTint="90" w:sz="4"/>
        <w:bottom w:val="single" w:themeColor="accent2" w:themeTint="90" w:sz="4"/>
        <w:right w:val="single" w:themeColor="accent2" w:themeTint="90" w:sz="4"/>
        <w:insideH w:val="single" w:themeColor="accent2" w:themeTint="90" w:sz="4"/>
        <w:insideV w:val="single" w:themeColor="accent2" w:themeTint="90" w:sz="4"/>
      </w:tblBorders>
    </w:tblPr>
  </w:style>
  <w:style w:type="table" w:styleId="Style_179">
    <w:name w:val="Table Grid"/>
    <w:basedOn w:val="Style_3"/>
    <w:tblPr>
      <w:tblBorders>
        <w:top w:val="single" w:color="000000" w:sz="4"/>
        <w:left w:val="single" w:color="000000" w:sz="4"/>
        <w:bottom w:val="single" w:color="000000" w:sz="4"/>
        <w:right w:val="single" w:color="000000" w:sz="4"/>
        <w:insideH w:val="single" w:color="000000" w:sz="4"/>
        <w:insideV w:val="single" w:color="000000" w:sz="4"/>
      </w:tblBorders>
    </w:tblPr>
  </w:style>
  <w:style w:type="table" w:default="1" w:styleId="Style_3">
    <w:name w:val="Normal Table"/>
    <w:tblPr>
      <w:tblCellMar>
        <w:top w:w="0" w:type="dxa"/>
        <w:left w:w="108" w:type="dxa"/>
        <w:bottom w:w="0" w:type="dxa"/>
        <w:right w:w="108" w:type="dxa"/>
      </w:tblCellMar>
    </w:tblPr>
  </w:style>
  <w:style w:type="table" w:styleId="Style_180">
    <w:name w:val="List Table 2 - Accent 3"/>
    <w:basedOn w:val="Style_3"/>
    <w:tblPr>
      <w:tblBorders>
        <w:top w:val="single" w:themeColor="accent3" w:themeTint="90" w:sz="4"/>
        <w:bottom w:val="single" w:themeColor="accent3" w:themeTint="90" w:sz="4"/>
        <w:insideH w:val="single" w:themeColor="accent3" w:themeTint="90" w:sz="4"/>
      </w:tblBorders>
    </w:tblPr>
  </w:style>
  <w:style w:type="table" w:styleId="Style_181">
    <w:name w:val="Grid Table 3 - Accent 2"/>
    <w:basedOn w:val="Style_3"/>
    <w:tblPr>
      <w:tblBorders>
        <w:bottom w:val="single" w:themeColor="accent2" w:themeTint="97" w:sz="4"/>
        <w:insideH w:val="single" w:themeColor="accent2" w:themeTint="97" w:sz="4"/>
        <w:insideV w:val="single" w:themeColor="accent2" w:themeTint="97" w:sz="4"/>
      </w:tblBorders>
    </w:tblPr>
  </w:style>
  <w:style w:type="table" w:styleId="Style_182">
    <w:name w:val="List Table 6 Colorful - Accent 1"/>
    <w:basedOn w:val="Style_3"/>
    <w:tblPr>
      <w:tblBorders>
        <w:top w:val="single" w:themeColor="accent1" w:sz="4"/>
        <w:bottom w:val="single" w:themeColor="accent1" w:sz="4"/>
      </w:tblBorders>
    </w:tblPr>
  </w:style>
  <w:style w:type="table" w:styleId="Style_183">
    <w:name w:val="Grid Table 7 Colorful"/>
    <w:basedOn w:val="Style_3"/>
    <w:tblPr>
      <w:tblBorders>
        <w:bottom w:val="single" w:themeColor="text1" w:themeTint="80" w:sz="4"/>
        <w:right w:val="single" w:themeColor="text1" w:themeTint="80" w:sz="4"/>
        <w:insideH w:val="single" w:themeColor="text1" w:themeTint="80" w:sz="4"/>
        <w:insideV w:val="single" w:themeColor="text1" w:themeTint="80" w:sz="4"/>
      </w:tblBorders>
    </w:tblPr>
  </w:style>
  <w:style w:type="table" w:styleId="Style_184">
    <w:name w:val="Plain Table 3"/>
    <w:basedOn w:val="Style_3"/>
  </w:style>
  <w:style w:type="table" w:styleId="Style_185">
    <w:name w:val="Lined - Accent"/>
    <w:basedOn w:val="Style_3"/>
    <w:rPr>
      <w:sz w:val="20"/>
    </w:rPr>
  </w:style>
  <w:style w:type="table" w:styleId="Style_186">
    <w:name w:val="Grid Table 7 Colorful - Accent 2"/>
    <w:basedOn w:val="Style_3"/>
    <w:tblPr>
      <w:tblBorders>
        <w:bottom w:val="single" w:themeColor="accent2" w:themeTint="97" w:sz="4"/>
        <w:right w:val="single" w:themeColor="accent2" w:themeTint="97" w:sz="4"/>
        <w:insideH w:val="single" w:themeColor="accent2" w:themeTint="97" w:sz="4"/>
        <w:insideV w:val="single" w:themeColor="accent2" w:themeTint="97" w:sz="4"/>
      </w:tblBorders>
    </w:tblPr>
  </w:style>
  <w:style w:type="table" w:styleId="Style_187">
    <w:name w:val="Grid Table 3 - Accent 5"/>
    <w:basedOn w:val="Style_3"/>
    <w:tblPr>
      <w:tblBorders>
        <w:bottom w:val="single" w:themeColor="accent5" w:sz="4"/>
        <w:insideH w:val="single" w:themeColor="accent5" w:sz="4"/>
        <w:insideV w:val="single" w:themeColor="accent5" w:sz="4"/>
      </w:tblBorders>
    </w:tblPr>
  </w:style>
  <w:style w:type="table" w:styleId="Style_188">
    <w:name w:val="List Table 2 - Accent 5"/>
    <w:basedOn w:val="Style_3"/>
    <w:tblPr>
      <w:tblBorders>
        <w:top w:val="single" w:themeColor="accent5" w:themeTint="90" w:sz="4"/>
        <w:bottom w:val="single" w:themeColor="accent5" w:themeTint="90" w:sz="4"/>
        <w:insideH w:val="single" w:themeColor="accent5" w:themeTint="90" w:sz="4"/>
      </w:tblBorders>
    </w:tblPr>
  </w:style>
  <w:style w:type="table" w:styleId="Style_189">
    <w:name w:val="Grid Table 2"/>
    <w:basedOn w:val="Style_3"/>
    <w:tblPr>
      <w:tblBorders>
        <w:bottom w:val="single" w:themeColor="text1" w:themeTint="95" w:sz="4"/>
        <w:insideH w:val="single" w:themeColor="text1" w:themeTint="95" w:sz="4"/>
        <w:insideV w:val="single" w:themeColor="text1" w:themeTint="95" w:sz="4"/>
      </w:tblBorders>
    </w:tblPr>
  </w:style>
  <w:style w:type="table" w:styleId="Style_190">
    <w:name w:val="Grid Table 6 Colorful - Accent 3"/>
    <w:basedOn w:val="Style_3"/>
    <w:tblPr>
      <w:tblBorders>
        <w:top w:val="single" w:themeColor="accent3" w:themeTint="fe" w:sz="4"/>
        <w:left w:val="single" w:themeColor="accent3" w:themeTint="fe" w:sz="4"/>
        <w:bottom w:val="single" w:themeColor="accent3" w:themeTint="fe" w:sz="4"/>
        <w:right w:val="single" w:themeColor="accent3" w:themeTint="fe" w:sz="4"/>
        <w:insideH w:val="single" w:themeColor="accent3" w:themeTint="fe" w:sz="4"/>
        <w:insideV w:val="single" w:themeColor="accent3" w:themeTint="fe" w:sz="4"/>
      </w:tblBorders>
    </w:tblPr>
  </w:style>
  <w:style w:type="table" w:styleId="Style_191">
    <w:name w:val="List Table 7 Colorful - Accent 2"/>
    <w:basedOn w:val="Style_3"/>
    <w:tblPr>
      <w:tblBorders>
        <w:right w:val="single" w:themeColor="accent2" w:themeTint="97" w:sz="4"/>
      </w:tblBorders>
    </w:tblPr>
  </w:style>
  <w:style w:type="table" w:styleId="Style_192">
    <w:name w:val="List Table 5 Dark - Accent 6"/>
    <w:basedOn w:val="Style_3"/>
    <w:tblPr>
      <w:tblBorders>
        <w:top w:val="single" w:themeColor="accent6" w:themeTint="98" w:sz="32"/>
        <w:left w:val="single" w:themeColor="accent6" w:themeTint="98" w:sz="32"/>
        <w:bottom w:val="single" w:themeColor="accent6" w:themeTint="98" w:sz="32"/>
        <w:right w:val="single" w:themeColor="accent6" w:themeTint="98" w:sz="32"/>
      </w:tblBorders>
    </w:tblPr>
  </w:style>
  <w:style w:type="table" w:styleId="Style_193">
    <w:name w:val="Plain Table 5"/>
    <w:basedOn w:val="Style_3"/>
  </w:style>
  <w:style w:type="table" w:styleId="Style_194">
    <w:name w:val="Grid Table 4 - Accent 6"/>
    <w:basedOn w:val="Style_3"/>
    <w:tblPr>
      <w:tblBorders>
        <w:top w:val="single" w:themeColor="accent6" w:themeTint="90" w:sz="4"/>
        <w:left w:val="single" w:themeColor="accent6" w:themeTint="90" w:sz="4"/>
        <w:bottom w:val="single" w:themeColor="accent6" w:themeTint="90" w:sz="4"/>
        <w:right w:val="single" w:themeColor="accent6" w:themeTint="90" w:sz="4"/>
        <w:insideH w:val="single" w:themeColor="accent6" w:themeTint="90" w:sz="4"/>
        <w:insideV w:val="single" w:themeColor="accent6" w:themeTint="90" w:sz="4"/>
      </w:tblBorders>
    </w:tblPr>
  </w:style>
  <w:style w:type="table" w:styleId="Style_195">
    <w:name w:val="List Table 7 Colorful"/>
    <w:basedOn w:val="Style_3"/>
    <w:tblPr>
      <w:tblBorders>
        <w:right w:val="single" w:themeColor="text1" w:themeTint="80" w:sz="4"/>
      </w:tblBorders>
    </w:tblPr>
  </w:style>
  <w:style w:type="table" w:styleId="Style_196">
    <w:name w:val="Lined - Accent 3"/>
    <w:basedOn w:val="Style_3"/>
    <w:rPr>
      <w:sz w:val="20"/>
    </w:rPr>
  </w:style>
  <w:style w:type="table" w:styleId="Style_197">
    <w:name w:val="List Table 2"/>
    <w:basedOn w:val="Style_3"/>
    <w:tblPr>
      <w:tblBorders>
        <w:top w:val="single" w:themeColor="text1" w:themeTint="90" w:sz="4"/>
        <w:bottom w:val="single" w:themeColor="text1" w:themeTint="90" w:sz="4"/>
        <w:insideH w:val="single" w:themeColor="text1" w:themeTint="90" w:sz="4"/>
      </w:tblBorders>
    </w:tblPr>
  </w:style>
  <w:style w:type="table" w:styleId="Style_198">
    <w:name w:val="Bordered - Accent 4"/>
    <w:basedOn w:val="Style_3"/>
    <w:tblPr>
      <w:tblBorders>
        <w:top w:val="single" w:themeColor="accent4" w:themeTint="67" w:sz="4"/>
        <w:left w:val="single" w:themeColor="accent4" w:themeTint="67" w:sz="4"/>
        <w:bottom w:val="single" w:themeColor="accent4" w:themeTint="67" w:sz="4"/>
        <w:right w:val="single" w:themeColor="accent4" w:themeTint="67" w:sz="4"/>
        <w:insideH w:val="single" w:themeColor="accent4" w:themeTint="67" w:sz="4"/>
        <w:insideV w:val="single" w:themeColor="accent4" w:themeTint="67" w:sz="4"/>
      </w:tblBorders>
    </w:tblPr>
  </w:style>
  <w:style w:type="table" w:styleId="Style_199">
    <w:name w:val="Grid Table 3"/>
    <w:basedOn w:val="Style_3"/>
    <w:tblPr>
      <w:tblBorders>
        <w:bottom w:val="single" w:themeColor="text1" w:themeTint="95" w:sz="4"/>
        <w:insideH w:val="single" w:themeColor="text1" w:themeTint="95" w:sz="4"/>
        <w:insideV w:val="single" w:themeColor="text1" w:themeTint="95" w:sz="4"/>
      </w:tblBorders>
    </w:tblPr>
  </w:style>
  <w:style w:type="table" w:styleId="Style_200">
    <w:name w:val="Grid Table 5 Dark"/>
    <w:basedOn w:val="Style_3"/>
    <w:tblPr>
      <w:tblBorders>
        <w:top w:val="single" w:themeColor="light1" w:sz="4"/>
        <w:left w:val="single" w:themeColor="light1" w:sz="4"/>
        <w:bottom w:val="single" w:themeColor="light1" w:sz="4"/>
        <w:right w:val="single" w:themeColor="light1" w:sz="4"/>
        <w:insideH w:val="single" w:themeColor="light1" w:sz="4"/>
        <w:insideV w:val="single" w:themeColor="light1" w:sz="4"/>
      </w:tblBorders>
    </w:tblPr>
  </w:style>
  <w:style w:type="table" w:styleId="Style_201">
    <w:name w:val="List Table 2 - Accent 4"/>
    <w:basedOn w:val="Style_3"/>
    <w:tblPr>
      <w:tblBorders>
        <w:top w:val="single" w:themeColor="accent4" w:themeTint="90" w:sz="4"/>
        <w:bottom w:val="single" w:themeColor="accent4" w:themeTint="90" w:sz="4"/>
        <w:insideH w:val="single" w:themeColor="accent4" w:themeTint="90" w:sz="4"/>
      </w:tblBorders>
    </w:tblPr>
  </w:style>
  <w:style w:type="table" w:styleId="Style_202">
    <w:name w:val="Grid Table 2 - Accent 1"/>
    <w:basedOn w:val="Style_3"/>
    <w:tblPr>
      <w:tblBorders>
        <w:bottom w:val="single" w:themeColor="accent1" w:themeTint="ea" w:sz="4"/>
        <w:insideH w:val="single" w:themeColor="accent1" w:themeTint="ea" w:sz="4"/>
        <w:insideV w:val="single" w:themeColor="accent1" w:themeTint="ea" w:sz="4"/>
      </w:tblBorders>
    </w:tblPr>
  </w:style>
  <w:style w:type="table" w:styleId="Style_203">
    <w:name w:val="Lined - Accent 4"/>
    <w:basedOn w:val="Style_3"/>
    <w:rPr>
      <w:sz w:val="20"/>
    </w:rPr>
  </w:style>
  <w:style w:type="table" w:styleId="Style_204">
    <w:name w:val="List Table 6 Colorful - Accent 6"/>
    <w:basedOn w:val="Style_3"/>
    <w:tblPr>
      <w:tblBorders>
        <w:top w:val="single" w:themeColor="accent6" w:themeTint="98" w:sz="4"/>
        <w:bottom w:val="single" w:themeColor="accent6" w:themeTint="98" w:sz="4"/>
      </w:tblBorders>
    </w:tblPr>
  </w:style>
  <w:style w:type="table" w:styleId="Style_205">
    <w:name w:val="Grid Table 2 - Accent 6"/>
    <w:basedOn w:val="Style_3"/>
    <w:tblPr>
      <w:tblBorders>
        <w:bottom w:val="single" w:themeColor="accent6" w:sz="4"/>
        <w:insideH w:val="single" w:themeColor="accent6" w:sz="4"/>
        <w:insideV w:val="single" w:themeColor="accent6" w:sz="4"/>
      </w:tblBorders>
    </w:tblPr>
  </w:style>
  <w:style w:type="table" w:styleId="Style_206">
    <w:name w:val="Grid Table 2 - Accent 4"/>
    <w:basedOn w:val="Style_3"/>
    <w:tblPr>
      <w:tblBorders>
        <w:bottom w:val="single" w:themeColor="accent4" w:themeTint="9a" w:sz="4"/>
        <w:insideH w:val="single" w:themeColor="accent4" w:themeTint="9a" w:sz="4"/>
        <w:insideV w:val="single" w:themeColor="accent4" w:themeTint="9a" w:sz="4"/>
      </w:tblBorders>
    </w:tblPr>
  </w:style>
  <w:style w:type="table" w:styleId="Style_207">
    <w:name w:val="List Table 1 Light - Accent 2"/>
    <w:basedOn w:val="Style_3"/>
  </w:style>
  <w:style w:type="table" w:styleId="Style_208">
    <w:name w:val="Bordered &amp; Lined - Accent 1"/>
    <w:basedOn w:val="Style_3"/>
    <w:rPr>
      <w:sz w:val="20"/>
    </w:rPr>
    <w:tblPr>
      <w:tblBorders>
        <w:top w:val="single" w:themeColor="accent1" w:sz="4"/>
        <w:left w:val="single" w:themeColor="accent1" w:sz="4"/>
        <w:bottom w:val="single" w:themeColor="accent1" w:sz="4"/>
        <w:right w:val="single" w:themeColor="accent1" w:sz="4"/>
        <w:insideH w:val="single" w:themeColor="accent1" w:sz="4"/>
        <w:insideV w:val="single" w:themeColor="accent1" w:sz="4"/>
      </w:tblBorders>
    </w:tblPr>
  </w:style>
  <w:style w:type="table" w:styleId="Style_209">
    <w:name w:val="Grid Table 7 Colorful - Accent 1"/>
    <w:basedOn w:val="Style_3"/>
    <w:tblPr>
      <w:tblBorders>
        <w:bottom w:val="single" w:themeColor="accent1" w:themeTint="80" w:sz="4"/>
        <w:right w:val="single" w:themeColor="accent1" w:themeTint="80" w:sz="4"/>
        <w:insideH w:val="single" w:themeColor="accent1" w:themeTint="80" w:sz="4"/>
        <w:insideV w:val="single" w:themeColor="accent1" w:themeTint="80" w:sz="4"/>
      </w:tblBorders>
    </w:tblPr>
  </w:style>
  <w:style w:type="table" w:styleId="Style_210">
    <w:name w:val="List Table 1 Light - Accent 6"/>
    <w:basedOn w:val="Style_3"/>
  </w:style>
  <w:style w:type="table" w:styleId="Style_211">
    <w:name w:val="List Table 3 - Accent 5"/>
    <w:basedOn w:val="Style_3"/>
    <w:tblPr>
      <w:tblBorders>
        <w:top w:val="single" w:themeColor="accent5" w:themeTint="9a" w:sz="4"/>
        <w:left w:val="single" w:themeColor="accent5" w:themeTint="9a" w:sz="4"/>
        <w:bottom w:val="single" w:themeColor="accent5" w:themeTint="9a" w:sz="4"/>
        <w:right w:val="single" w:themeColor="accent5" w:themeTint="9a" w:sz="4"/>
      </w:tblBorders>
    </w:tblPr>
  </w:style>
  <w:style w:type="table" w:styleId="Style_212">
    <w:name w:val="List Table 3 - Accent 2"/>
    <w:basedOn w:val="Style_3"/>
    <w:tblPr>
      <w:tblBorders>
        <w:top w:val="single" w:themeColor="accent2" w:themeTint="97" w:sz="4"/>
        <w:left w:val="single" w:themeColor="accent2" w:themeTint="97" w:sz="4"/>
        <w:bottom w:val="single" w:themeColor="accent2" w:themeTint="97" w:sz="4"/>
        <w:right w:val="single" w:themeColor="accent2" w:themeTint="97" w:sz="4"/>
      </w:tblBorders>
    </w:tblPr>
  </w:style>
  <w:style w:type="table" w:styleId="Style_213">
    <w:name w:val="List Table 7 Colorful - Accent 6"/>
    <w:basedOn w:val="Style_3"/>
    <w:tblPr>
      <w:tblBorders>
        <w:right w:val="single" w:themeColor="accent6" w:themeTint="98" w:sz="4"/>
      </w:tblBorders>
    </w:tblPr>
  </w:style>
  <w:style w:type="table" w:styleId="Style_214">
    <w:name w:val="Grid Table 6 Colorful - Accent 4"/>
    <w:basedOn w:val="Style_3"/>
    <w:tblPr>
      <w:tblBorders>
        <w:top w:val="single" w:themeColor="accent4" w:themeTint="9a" w:sz="4"/>
        <w:left w:val="single" w:themeColor="accent4" w:themeTint="9a" w:sz="4"/>
        <w:bottom w:val="single" w:themeColor="accent4" w:themeTint="9a" w:sz="4"/>
        <w:right w:val="single" w:themeColor="accent4" w:themeTint="9a" w:sz="4"/>
        <w:insideH w:val="single" w:themeColor="accent4" w:themeTint="9a" w:sz="4"/>
        <w:insideV w:val="single" w:themeColor="accent4" w:themeTint="9a" w:sz="4"/>
      </w:tblBorders>
    </w:tblPr>
  </w:style>
  <w:style w:type="table" w:styleId="Style_215">
    <w:name w:val="List Table 5 Dark"/>
    <w:basedOn w:val="Style_3"/>
    <w:tblPr>
      <w:tblBorders>
        <w:top w:val="single" w:themeColor="text1" w:themeTint="80" w:sz="32"/>
        <w:left w:val="single" w:themeColor="text1" w:themeTint="80" w:sz="32"/>
        <w:bottom w:val="single" w:themeColor="text1" w:themeTint="80" w:sz="32"/>
        <w:right w:val="single" w:themeColor="text1" w:themeTint="80" w:sz="32"/>
      </w:tblBorders>
    </w:tblPr>
  </w:style>
  <w:style w:type="table" w:styleId="Style_216">
    <w:name w:val="Plain Table 4"/>
    <w:basedOn w:val="Style_3"/>
  </w:style>
  <w:style w:type="table" w:styleId="Style_217">
    <w:name w:val="List Table 6 Colorful"/>
    <w:basedOn w:val="Style_3"/>
    <w:tblPr>
      <w:tblBorders>
        <w:top w:val="single" w:themeColor="text1" w:themeTint="80" w:sz="4"/>
        <w:bottom w:val="single" w:themeColor="text1" w:themeTint="80" w:sz="4"/>
      </w:tblBorders>
    </w:tblPr>
  </w:style>
  <w:style w:type="table" w:styleId="Style_218">
    <w:name w:val="List Table 7 Colorful - Accent 3"/>
    <w:basedOn w:val="Style_3"/>
    <w:tblPr>
      <w:tblBorders>
        <w:right w:val="single" w:themeColor="accent3" w:themeTint="98" w:sz="4"/>
      </w:tblBorders>
    </w:tblPr>
  </w:style>
  <w:style w:type="table" w:styleId="Style_219">
    <w:name w:val="List Table 7 Colorful - Accent 5"/>
    <w:basedOn w:val="Style_3"/>
    <w:tblPr>
      <w:tblBorders>
        <w:right w:val="single" w:themeColor="accent5" w:themeTint="9a" w:sz="4"/>
      </w:tblBorders>
    </w:tblPr>
  </w:style>
  <w:style w:type="table" w:styleId="Style_220">
    <w:name w:val="Grid Table 7 Colorful - Accent 3"/>
    <w:basedOn w:val="Style_3"/>
    <w:tblPr>
      <w:tblBorders>
        <w:bottom w:val="single" w:themeColor="accent3" w:themeTint="fe" w:sz="4"/>
        <w:right w:val="single" w:themeColor="accent3" w:themeTint="fe" w:sz="4"/>
        <w:insideH w:val="single" w:themeColor="accent3" w:themeTint="fe" w:sz="4"/>
        <w:insideV w:val="single" w:themeColor="accent3" w:themeTint="fe" w:sz="4"/>
      </w:tblBorders>
    </w:tblPr>
  </w:style>
  <w:style w:type="table" w:styleId="Style_221">
    <w:name w:val="Lined - Accent 2"/>
    <w:basedOn w:val="Style_3"/>
    <w:rPr>
      <w:sz w:val="20"/>
    </w:rPr>
  </w:style>
  <w:style w:type="table" w:styleId="Style_222">
    <w:name w:val="Bordered"/>
    <w:basedOn w:val="Style_3"/>
    <w:tblPr>
      <w:tblBorders>
        <w:top w:val="single" w:themeColor="text1" w:themeTint="26" w:sz="4"/>
        <w:left w:val="single" w:themeColor="text1" w:themeTint="26" w:sz="4"/>
        <w:bottom w:val="single" w:themeColor="text1" w:themeTint="26" w:sz="4"/>
        <w:right w:val="single" w:themeColor="text1" w:themeTint="26" w:sz="4"/>
        <w:insideH w:val="single" w:themeColor="text1" w:themeTint="26" w:sz="4"/>
        <w:insideV w:val="single" w:themeColor="text1" w:themeTint="26" w:sz="4"/>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tileRect l="0" t="0" r="0" b="0"/>
        </a:gradFill>
      </a:fillStyleLst>
      <a:lnStyleLst>
        <a:ln w="6350">
          <a:prstDash val="solid"/>
        </a:ln>
        <a:ln w="12700">
          <a:prstDash val="solid"/>
        </a:ln>
        <a:ln w="19050">
          <a:prstDash val="solid"/>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4</TotalTime>
  <Application>LibreOffice/7.6.7.2$Linux_X86_64 LibreOffice_project/60$Build-2</Application>
  <AppVersion>15.0000</AppVersion>
  <Pages>34</Pages>
  <Words>9418</Words>
  <Characters>66355</Characters>
  <CharactersWithSpaces>75276</CharactersWithSpaces>
  <Paragraphs>532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2026-03-18T14:46:45Z</dcterms:modified>
  <cp:revision>5</cp:revision>
  <dc:subject/>
  <dc:title/>
</cp:coreProperties>
</file>